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35F04D04"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8964AB">
        <w:rPr>
          <w:rFonts w:ascii="Arial" w:eastAsia="Tahoma" w:hAnsi="Arial" w:cs="Arial"/>
          <w:b/>
          <w:bCs/>
          <w:kern w:val="0"/>
          <w:sz w:val="22"/>
          <w:szCs w:val="22"/>
        </w:rPr>
        <w:t>11</w:t>
      </w:r>
      <w:r w:rsidR="008964AB" w:rsidRPr="008964AB">
        <w:rPr>
          <w:rFonts w:ascii="Arial" w:eastAsia="Tahoma" w:hAnsi="Arial" w:cs="Arial"/>
          <w:b/>
          <w:bCs/>
          <w:kern w:val="0"/>
          <w:sz w:val="22"/>
          <w:szCs w:val="22"/>
        </w:rPr>
        <w:t>9</w:t>
      </w:r>
      <w:r w:rsidR="008964AB" w:rsidRPr="008964AB">
        <w:rPr>
          <w:rFonts w:ascii="Arial" w:hAnsi="Arial" w:cs="Arial"/>
          <w:b/>
          <w:bCs/>
          <w:kern w:val="0"/>
          <w:sz w:val="22"/>
          <w:szCs w:val="22"/>
        </w:rPr>
        <w:t>bis</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R2-22098</w:t>
      </w:r>
      <w:r w:rsidR="001F5D17">
        <w:rPr>
          <w:rFonts w:ascii="Arial" w:eastAsia="Tahoma" w:hAnsi="Arial" w:cs="Arial"/>
          <w:b/>
          <w:bCs/>
          <w:kern w:val="0"/>
          <w:sz w:val="22"/>
          <w:szCs w:val="22"/>
        </w:rPr>
        <w:t>11</w:t>
      </w:r>
    </w:p>
    <w:p w14:paraId="39EA01E6" w14:textId="20847550" w:rsidR="00541641" w:rsidRPr="00D8388D" w:rsidRDefault="00541641" w:rsidP="00541641">
      <w:pPr>
        <w:widowControl/>
        <w:tabs>
          <w:tab w:val="left" w:pos="1979"/>
        </w:tabs>
        <w:spacing w:after="180"/>
        <w:jc w:val="left"/>
        <w:rPr>
          <w:rFonts w:ascii="Arial" w:eastAsia="Tahoma" w:hAnsi="Arial" w:cs="Arial"/>
          <w:b/>
          <w:bCs/>
          <w:kern w:val="0"/>
          <w:sz w:val="22"/>
          <w:szCs w:val="22"/>
        </w:rPr>
      </w:pPr>
      <w:r w:rsidRPr="00D8388D">
        <w:rPr>
          <w:rFonts w:ascii="Arial" w:eastAsia="Tahoma" w:hAnsi="Arial" w:cs="Arial"/>
          <w:b/>
          <w:bCs/>
          <w:kern w:val="0"/>
          <w:sz w:val="22"/>
          <w:szCs w:val="22"/>
        </w:rPr>
        <w:t xml:space="preserve">E-Meeting, </w:t>
      </w:r>
      <w:r w:rsidR="008964AB">
        <w:rPr>
          <w:rFonts w:ascii="Arial" w:eastAsia="Tahoma" w:hAnsi="Arial" w:cs="Arial"/>
          <w:b/>
          <w:bCs/>
          <w:kern w:val="0"/>
          <w:sz w:val="22"/>
          <w:szCs w:val="22"/>
        </w:rPr>
        <w:t>10</w:t>
      </w:r>
      <w:r w:rsidR="008964AB" w:rsidRPr="00D8388D">
        <w:rPr>
          <w:rFonts w:ascii="Arial" w:eastAsia="Tahoma" w:hAnsi="Arial" w:cs="Arial"/>
          <w:b/>
          <w:bCs/>
          <w:kern w:val="0"/>
          <w:sz w:val="22"/>
          <w:szCs w:val="22"/>
          <w:vertAlign w:val="superscript"/>
        </w:rPr>
        <w:t>th</w:t>
      </w:r>
      <w:r w:rsidR="008964AB" w:rsidRPr="00D8388D">
        <w:rPr>
          <w:rFonts w:ascii="Arial" w:eastAsia="Tahoma" w:hAnsi="Arial" w:cs="Arial"/>
          <w:b/>
          <w:bCs/>
          <w:kern w:val="0"/>
          <w:sz w:val="22"/>
          <w:szCs w:val="22"/>
        </w:rPr>
        <w:t xml:space="preserve"> – </w:t>
      </w:r>
      <w:r w:rsidR="008964AB">
        <w:rPr>
          <w:rFonts w:ascii="Arial" w:eastAsia="Tahoma" w:hAnsi="Arial" w:cs="Arial"/>
          <w:b/>
          <w:bCs/>
          <w:kern w:val="0"/>
          <w:sz w:val="22"/>
          <w:szCs w:val="22"/>
        </w:rPr>
        <w:t>19</w:t>
      </w:r>
      <w:r w:rsidR="008964AB" w:rsidRPr="00D8388D">
        <w:rPr>
          <w:rFonts w:ascii="Arial" w:eastAsia="Tahoma" w:hAnsi="Arial" w:cs="Arial"/>
          <w:b/>
          <w:bCs/>
          <w:kern w:val="0"/>
          <w:sz w:val="22"/>
          <w:szCs w:val="22"/>
          <w:vertAlign w:val="superscript"/>
        </w:rPr>
        <w:t>th</w:t>
      </w:r>
      <w:r w:rsidR="008964AB" w:rsidRPr="00D8388D">
        <w:rPr>
          <w:rFonts w:ascii="Arial" w:eastAsia="Tahoma" w:hAnsi="Arial" w:cs="Arial"/>
          <w:b/>
          <w:bCs/>
          <w:kern w:val="0"/>
          <w:sz w:val="22"/>
          <w:szCs w:val="22"/>
        </w:rPr>
        <w:t xml:space="preserve"> </w:t>
      </w:r>
      <w:r w:rsidR="008964AB">
        <w:rPr>
          <w:rFonts w:ascii="Arial" w:eastAsia="Tahoma" w:hAnsi="Arial" w:cs="Arial"/>
          <w:b/>
          <w:bCs/>
          <w:kern w:val="0"/>
          <w:sz w:val="22"/>
          <w:szCs w:val="22"/>
        </w:rPr>
        <w:t>October</w:t>
      </w:r>
      <w:r w:rsidR="008964AB" w:rsidRPr="00D8388D">
        <w:rPr>
          <w:rFonts w:ascii="Arial" w:eastAsia="Tahoma" w:hAnsi="Arial" w:cs="Arial"/>
          <w:b/>
          <w:bCs/>
          <w:kern w:val="0"/>
          <w:sz w:val="22"/>
          <w:szCs w:val="22"/>
        </w:rPr>
        <w:t xml:space="preserve">, </w:t>
      </w:r>
      <w:r w:rsidR="008964AB">
        <w:rPr>
          <w:rFonts w:ascii="Arial" w:eastAsia="Tahoma" w:hAnsi="Arial" w:cs="Arial"/>
          <w:b/>
          <w:bCs/>
          <w:kern w:val="0"/>
          <w:sz w:val="22"/>
          <w:szCs w:val="22"/>
        </w:rPr>
        <w:t>2022</w:t>
      </w:r>
    </w:p>
    <w:p w14:paraId="615799DD" w14:textId="40EC7BAB"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8964AB">
        <w:rPr>
          <w:rFonts w:ascii="Arial" w:eastAsia="宋体" w:hAnsi="Arial" w:cs="Times New Roman"/>
          <w:b/>
          <w:kern w:val="0"/>
          <w:sz w:val="22"/>
          <w:szCs w:val="22"/>
        </w:rPr>
        <w:t>8.3.2</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0E8E573B"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8964AB" w:rsidRPr="008964AB">
        <w:rPr>
          <w:rFonts w:ascii="Arial" w:eastAsia="宋体" w:hAnsi="Arial" w:cs="Times New Roman"/>
          <w:b/>
          <w:kern w:val="0"/>
          <w:sz w:val="22"/>
          <w:szCs w:val="22"/>
        </w:rPr>
        <w:t xml:space="preserve">Discussions on </w:t>
      </w:r>
      <w:r w:rsidR="001F5D17">
        <w:rPr>
          <w:rFonts w:ascii="Arial" w:eastAsia="宋体" w:hAnsi="Arial" w:cs="Times New Roman" w:hint="eastAsia"/>
          <w:b/>
          <w:kern w:val="0"/>
          <w:sz w:val="22"/>
          <w:szCs w:val="22"/>
        </w:rPr>
        <w:t>fre</w:t>
      </w:r>
      <w:r w:rsidR="001F5D17">
        <w:rPr>
          <w:rFonts w:ascii="Arial" w:eastAsia="宋体" w:hAnsi="Arial" w:cs="Times New Roman"/>
          <w:b/>
          <w:kern w:val="0"/>
          <w:sz w:val="22"/>
          <w:szCs w:val="22"/>
        </w:rPr>
        <w:t xml:space="preserve">quency </w:t>
      </w:r>
      <w:r w:rsidR="008964AB" w:rsidRPr="008964AB">
        <w:rPr>
          <w:rFonts w:ascii="Arial" w:eastAsia="宋体" w:hAnsi="Arial" w:cs="Times New Roman"/>
          <w:b/>
          <w:kern w:val="0"/>
          <w:sz w:val="22"/>
          <w:szCs w:val="22"/>
        </w:rPr>
        <w:t>domain techniques for network energy saving</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5B947429" w:rsidR="00541641" w:rsidRDefault="00541641" w:rsidP="00541641">
      <w:pPr>
        <w:spacing w:afterLines="50" w:after="156"/>
        <w:rPr>
          <w:rFonts w:eastAsia="宋体"/>
        </w:rPr>
      </w:pPr>
      <w:bookmarkStart w:id="7" w:name="_Hlk85390381"/>
      <w:bookmarkStart w:id="8" w:name="_Hlk92533704"/>
      <w:r>
        <w:rPr>
          <w:rFonts w:eastAsia="宋体" w:hint="eastAsia"/>
        </w:rPr>
        <w:t>A</w:t>
      </w:r>
      <w:r>
        <w:rPr>
          <w:rFonts w:eastAsia="宋体"/>
        </w:rPr>
        <w:t xml:space="preserve">ccording to </w:t>
      </w:r>
      <w:r w:rsidR="00F23FE4">
        <w:rPr>
          <w:rFonts w:eastAsia="宋体" w:hint="eastAsia"/>
        </w:rPr>
        <w:t>pos</w:t>
      </w:r>
      <w:r w:rsidR="00F23FE4">
        <w:rPr>
          <w:rFonts w:eastAsia="宋体"/>
        </w:rPr>
        <w:t>t-RAN2#119</w:t>
      </w:r>
      <w:r w:rsidR="00F23FE4">
        <w:rPr>
          <w:rFonts w:eastAsia="宋体" w:hint="eastAsia"/>
        </w:rPr>
        <w:t>e</w:t>
      </w:r>
      <w:r w:rsidR="00F23FE4">
        <w:rPr>
          <w:rFonts w:eastAsia="宋体"/>
        </w:rPr>
        <w:t xml:space="preserve"> email discussion [1]</w:t>
      </w:r>
      <w:r>
        <w:rPr>
          <w:rFonts w:eastAsia="宋体"/>
        </w:rPr>
        <w:t xml:space="preserve">, the following </w:t>
      </w:r>
      <w:r w:rsidR="00F23FE4">
        <w:rPr>
          <w:rFonts w:eastAsia="宋体" w:hint="eastAsia"/>
        </w:rPr>
        <w:t>ne</w:t>
      </w:r>
      <w:r w:rsidR="00F23FE4">
        <w:rPr>
          <w:rFonts w:eastAsia="宋体"/>
        </w:rPr>
        <w:t xml:space="preserve">twork energy saving </w:t>
      </w:r>
      <w:r w:rsidR="00D3141F">
        <w:rPr>
          <w:rFonts w:eastAsia="宋体"/>
        </w:rPr>
        <w:t xml:space="preserve">(NES) </w:t>
      </w:r>
      <w:r w:rsidR="00421B63">
        <w:rPr>
          <w:rFonts w:eastAsia="宋体"/>
        </w:rPr>
        <w:t>techniques</w:t>
      </w:r>
      <w:r w:rsidR="00F23FE4">
        <w:rPr>
          <w:rFonts w:eastAsia="宋体"/>
        </w:rPr>
        <w:t xml:space="preserve"> are proposed</w:t>
      </w:r>
      <w:r w:rsidR="00946395">
        <w:rPr>
          <w:rFonts w:eastAsia="宋体"/>
        </w:rPr>
        <w:t xml:space="preserve"> to be further studied in RAN2</w:t>
      </w:r>
      <w:r>
        <w:rPr>
          <w:rFonts w:eastAsia="宋体"/>
        </w:rPr>
        <w:t>:</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7F6CF9D4" w14:textId="77777777" w:rsidR="00B04D67" w:rsidRDefault="00B04D67" w:rsidP="00B04D67">
            <w:pPr>
              <w:rPr>
                <w:rFonts w:eastAsia="宋体"/>
                <w:b/>
              </w:rPr>
            </w:pPr>
            <w:r w:rsidRPr="00D317E1">
              <w:rPr>
                <w:rFonts w:eastAsia="宋体" w:hint="eastAsia"/>
                <w:b/>
              </w:rPr>
              <w:t>P</w:t>
            </w:r>
            <w:r w:rsidRPr="00D317E1">
              <w:rPr>
                <w:rFonts w:eastAsia="宋体"/>
                <w:b/>
              </w:rPr>
              <w:t>roposal</w:t>
            </w:r>
            <w:r w:rsidRPr="00D317E1">
              <w:rPr>
                <w:rFonts w:eastAsia="宋体" w:hint="eastAsia"/>
                <w:b/>
              </w:rPr>
              <w:t>:</w:t>
            </w:r>
            <w:r w:rsidRPr="00D317E1">
              <w:rPr>
                <w:rFonts w:eastAsia="宋体"/>
                <w:b/>
              </w:rPr>
              <w:t xml:space="preserve"> RAN2 will continue studying the following </w:t>
            </w:r>
            <w:r>
              <w:rPr>
                <w:rFonts w:eastAsia="宋体"/>
                <w:b/>
              </w:rPr>
              <w:t>aspects</w:t>
            </w:r>
            <w:r w:rsidRPr="00D317E1">
              <w:rPr>
                <w:rFonts w:eastAsia="宋体"/>
                <w:b/>
              </w:rPr>
              <w:t xml:space="preserve">: </w:t>
            </w:r>
          </w:p>
          <w:p w14:paraId="12B948D5" w14:textId="77777777" w:rsidR="00B04D67" w:rsidRDefault="00B04D67" w:rsidP="00B04D67">
            <w:pPr>
              <w:widowControl/>
              <w:numPr>
                <w:ilvl w:val="0"/>
                <w:numId w:val="19"/>
              </w:numPr>
              <w:overflowPunct w:val="0"/>
              <w:autoSpaceDE w:val="0"/>
              <w:autoSpaceDN w:val="0"/>
              <w:adjustRightInd w:val="0"/>
              <w:textAlignment w:val="baseline"/>
              <w:rPr>
                <w:rFonts w:eastAsia="宋体"/>
                <w:b/>
              </w:rPr>
            </w:pPr>
            <w:r>
              <w:rPr>
                <w:rFonts w:eastAsia="宋体"/>
                <w:b/>
              </w:rPr>
              <w:t>Common signals related:</w:t>
            </w:r>
          </w:p>
          <w:p w14:paraId="692BCEF2" w14:textId="77777777" w:rsidR="00B04D67" w:rsidRDefault="00B04D67" w:rsidP="00B04D67">
            <w:pPr>
              <w:widowControl/>
              <w:numPr>
                <w:ilvl w:val="1"/>
                <w:numId w:val="20"/>
              </w:numPr>
              <w:overflowPunct w:val="0"/>
              <w:autoSpaceDE w:val="0"/>
              <w:autoSpaceDN w:val="0"/>
              <w:adjustRightInd w:val="0"/>
              <w:textAlignment w:val="baseline"/>
              <w:rPr>
                <w:rFonts w:eastAsia="宋体"/>
                <w:b/>
              </w:rPr>
            </w:pPr>
            <w:r w:rsidRPr="00D317E1">
              <w:rPr>
                <w:rFonts w:eastAsia="宋体"/>
                <w:b/>
              </w:rPr>
              <w:t>SSB/SIB/Paging-less</w:t>
            </w:r>
          </w:p>
          <w:p w14:paraId="50AF0343" w14:textId="77777777" w:rsidR="00B04D67" w:rsidRDefault="00B04D67" w:rsidP="00B04D67">
            <w:pPr>
              <w:widowControl/>
              <w:numPr>
                <w:ilvl w:val="1"/>
                <w:numId w:val="20"/>
              </w:numPr>
              <w:overflowPunct w:val="0"/>
              <w:autoSpaceDE w:val="0"/>
              <w:autoSpaceDN w:val="0"/>
              <w:adjustRightInd w:val="0"/>
              <w:textAlignment w:val="baseline"/>
              <w:rPr>
                <w:rFonts w:eastAsia="宋体"/>
                <w:b/>
              </w:rPr>
            </w:pPr>
            <w:r w:rsidRPr="00D317E1">
              <w:rPr>
                <w:rFonts w:eastAsia="宋体"/>
                <w:b/>
              </w:rPr>
              <w:t>On-demand SSB/SIB1, triggered by WUS</w:t>
            </w:r>
          </w:p>
          <w:p w14:paraId="651D0A03" w14:textId="77777777" w:rsidR="00B04D67" w:rsidRPr="00B77164" w:rsidRDefault="00B04D67" w:rsidP="00B04D67">
            <w:pPr>
              <w:widowControl/>
              <w:numPr>
                <w:ilvl w:val="0"/>
                <w:numId w:val="19"/>
              </w:numPr>
              <w:overflowPunct w:val="0"/>
              <w:autoSpaceDE w:val="0"/>
              <w:autoSpaceDN w:val="0"/>
              <w:adjustRightInd w:val="0"/>
              <w:textAlignment w:val="baseline"/>
              <w:rPr>
                <w:rFonts w:eastAsia="宋体"/>
                <w:b/>
              </w:rPr>
            </w:pPr>
            <w:r>
              <w:rPr>
                <w:rFonts w:eastAsia="宋体"/>
                <w:b/>
              </w:rPr>
              <w:t>Group signalling/configuration related:</w:t>
            </w:r>
          </w:p>
          <w:p w14:paraId="26160BC7" w14:textId="77777777" w:rsidR="00B04D67" w:rsidRDefault="00B04D67" w:rsidP="00B04D67">
            <w:pPr>
              <w:widowControl/>
              <w:numPr>
                <w:ilvl w:val="1"/>
                <w:numId w:val="21"/>
              </w:numPr>
              <w:overflowPunct w:val="0"/>
              <w:autoSpaceDE w:val="0"/>
              <w:autoSpaceDN w:val="0"/>
              <w:adjustRightInd w:val="0"/>
              <w:textAlignment w:val="baseline"/>
              <w:rPr>
                <w:rFonts w:eastAsia="宋体"/>
                <w:b/>
              </w:rPr>
            </w:pPr>
            <w:r w:rsidRPr="00D317E1">
              <w:rPr>
                <w:rFonts w:eastAsia="宋体"/>
                <w:b/>
              </w:rPr>
              <w:t>Group HO/CHO</w:t>
            </w:r>
          </w:p>
          <w:p w14:paraId="36CEA058" w14:textId="77777777" w:rsidR="00B04D67" w:rsidRPr="00B77164" w:rsidRDefault="00B04D67" w:rsidP="00B04D67">
            <w:pPr>
              <w:widowControl/>
              <w:numPr>
                <w:ilvl w:val="1"/>
                <w:numId w:val="21"/>
              </w:numPr>
              <w:overflowPunct w:val="0"/>
              <w:autoSpaceDE w:val="0"/>
              <w:autoSpaceDN w:val="0"/>
              <w:adjustRightInd w:val="0"/>
              <w:textAlignment w:val="baseline"/>
              <w:rPr>
                <w:rFonts w:eastAsia="宋体"/>
                <w:b/>
              </w:rPr>
            </w:pPr>
            <w:r w:rsidRPr="00B77164">
              <w:rPr>
                <w:rFonts w:eastAsia="宋体"/>
                <w:b/>
              </w:rPr>
              <w:t>NW DTX/DRX</w:t>
            </w:r>
          </w:p>
          <w:p w14:paraId="2FEA1BA6" w14:textId="77777777" w:rsidR="00B04D67" w:rsidRPr="00D317E1" w:rsidRDefault="00B04D67" w:rsidP="00B04D67">
            <w:pPr>
              <w:widowControl/>
              <w:numPr>
                <w:ilvl w:val="1"/>
                <w:numId w:val="21"/>
              </w:numPr>
              <w:overflowPunct w:val="0"/>
              <w:autoSpaceDE w:val="0"/>
              <w:autoSpaceDN w:val="0"/>
              <w:adjustRightInd w:val="0"/>
              <w:textAlignment w:val="baseline"/>
              <w:rPr>
                <w:rFonts w:eastAsia="宋体"/>
                <w:b/>
              </w:rPr>
            </w:pPr>
            <w:r w:rsidRPr="00D317E1">
              <w:rPr>
                <w:rFonts w:eastAsia="宋体"/>
                <w:b/>
              </w:rPr>
              <w:t>BWP adaptation</w:t>
            </w:r>
          </w:p>
          <w:p w14:paraId="6E087472" w14:textId="43337450" w:rsidR="00A93A63" w:rsidRPr="00EA0CCB" w:rsidRDefault="00B04D67" w:rsidP="00B04D67">
            <w:pPr>
              <w:rPr>
                <w:rFonts w:eastAsia="宋体"/>
                <w:b/>
              </w:rPr>
            </w:pPr>
            <w:r>
              <w:rPr>
                <w:rFonts w:eastAsia="宋体"/>
                <w:b/>
              </w:rPr>
              <w:t>3</w:t>
            </w:r>
            <w:r w:rsidRPr="00D317E1">
              <w:rPr>
                <w:rFonts w:eastAsia="宋体"/>
                <w:b/>
              </w:rPr>
              <w:t xml:space="preserve">) </w:t>
            </w:r>
            <w:r>
              <w:rPr>
                <w:rFonts w:eastAsia="宋体"/>
                <w:b/>
              </w:rPr>
              <w:t>Cell selection/reselection.</w:t>
            </w:r>
          </w:p>
        </w:tc>
      </w:tr>
    </w:tbl>
    <w:p w14:paraId="1FA6579C" w14:textId="72A27A10" w:rsidR="00541641" w:rsidRDefault="00B22C9F" w:rsidP="00545549">
      <w:pPr>
        <w:spacing w:before="120"/>
      </w:pPr>
      <w:r>
        <w:rPr>
          <w:rFonts w:eastAsia="宋体"/>
        </w:rPr>
        <w:t xml:space="preserve">From our understanding, </w:t>
      </w:r>
      <w:bookmarkEnd w:id="8"/>
      <w:r>
        <w:rPr>
          <w:rFonts w:eastAsia="宋体"/>
        </w:rPr>
        <w:t xml:space="preserve">the other excluded techniques are relying </w:t>
      </w:r>
      <w:r w:rsidR="00545549">
        <w:rPr>
          <w:rFonts w:eastAsia="宋体"/>
        </w:rPr>
        <w:t xml:space="preserve">heavily on RAN1 input. </w:t>
      </w:r>
      <w:r w:rsidR="00B04D67">
        <w:rPr>
          <w:rFonts w:eastAsia="宋体"/>
        </w:rPr>
        <w:t xml:space="preserve">In this contribution, we will </w:t>
      </w:r>
      <w:r w:rsidR="00317456">
        <w:rPr>
          <w:rFonts w:eastAsia="宋体"/>
        </w:rPr>
        <w:t xml:space="preserve">discuss about </w:t>
      </w:r>
      <w:r w:rsidR="001F5D17" w:rsidRPr="001F5D17">
        <w:rPr>
          <w:rFonts w:eastAsia="宋体"/>
        </w:rPr>
        <w:t>SSB/SIB/Paging-less</w:t>
      </w:r>
      <w:r w:rsidR="001F5D17">
        <w:rPr>
          <w:rFonts w:eastAsia="宋体"/>
        </w:rPr>
        <w:t xml:space="preserve"> and BWP adaptation in a frequency domain manner</w:t>
      </w:r>
      <w:r w:rsidR="00317456">
        <w:rPr>
          <w:rFonts w:eastAsia="宋体"/>
        </w:rPr>
        <w:t xml:space="preserve">, and </w:t>
      </w:r>
      <w:r w:rsidR="008C2047">
        <w:rPr>
          <w:rFonts w:eastAsia="宋体"/>
        </w:rPr>
        <w:t>analyze</w:t>
      </w:r>
      <w:r w:rsidR="00317456">
        <w:rPr>
          <w:rFonts w:eastAsia="宋体"/>
        </w:rPr>
        <w:t xml:space="preserve"> their potential RAN1/RAN2 impact.</w:t>
      </w:r>
    </w:p>
    <w:p w14:paraId="2F96FEB6" w14:textId="77777777" w:rsidR="00541641" w:rsidRPr="00541641" w:rsidRDefault="00541641" w:rsidP="00541641">
      <w:pPr>
        <w:pBdr>
          <w:bottom w:val="single" w:sz="12" w:space="1" w:color="auto"/>
        </w:pBdr>
      </w:pPr>
    </w:p>
    <w:p w14:paraId="69DF218C" w14:textId="4A67E33F" w:rsidR="00A2414B" w:rsidRPr="00A2414B" w:rsidRDefault="00541641" w:rsidP="00A2414B">
      <w:pPr>
        <w:pStyle w:val="1"/>
      </w:pPr>
      <w:r>
        <w:t>Discussion</w:t>
      </w:r>
    </w:p>
    <w:p w14:paraId="02DB5EE9" w14:textId="082195CB" w:rsidR="00541641" w:rsidRDefault="00A327F7" w:rsidP="00541641">
      <w:pPr>
        <w:pStyle w:val="2"/>
      </w:pPr>
      <w:r>
        <w:t xml:space="preserve">definition </w:t>
      </w:r>
      <w:r w:rsidR="00C67833">
        <w:t xml:space="preserve">of </w:t>
      </w:r>
      <w:r w:rsidR="00271AEB">
        <w:t>(non-)anchor cell</w:t>
      </w:r>
      <w:r>
        <w:t xml:space="preserve"> </w:t>
      </w:r>
    </w:p>
    <w:p w14:paraId="60AEA1FD" w14:textId="77777777" w:rsidR="00BC479D" w:rsidRPr="00A10D5C" w:rsidRDefault="00B27014" w:rsidP="00BC479D">
      <w:pPr>
        <w:rPr>
          <w:rFonts w:cs="Times New Roman"/>
          <w:szCs w:val="20"/>
        </w:rPr>
      </w:pPr>
      <w:r w:rsidRPr="00A10D5C">
        <w:rPr>
          <w:rFonts w:cs="Times New Roman"/>
          <w:szCs w:val="20"/>
        </w:rPr>
        <w:t>T</w:t>
      </w:r>
      <w:r w:rsidR="00A327F7" w:rsidRPr="00A10D5C">
        <w:rPr>
          <w:rFonts w:cs="Times New Roman"/>
          <w:szCs w:val="20"/>
        </w:rPr>
        <w:t>he concept of (non-)anchor carrier</w:t>
      </w:r>
      <w:r w:rsidR="00A8777B" w:rsidRPr="00A10D5C">
        <w:rPr>
          <w:rFonts w:cs="Times New Roman"/>
          <w:szCs w:val="20"/>
        </w:rPr>
        <w:t xml:space="preserve"> was first introduced for NB-IOT. It provides benefit in</w:t>
      </w:r>
      <w:r w:rsidR="000E383D" w:rsidRPr="00A10D5C">
        <w:rPr>
          <w:rFonts w:cs="Times New Roman"/>
          <w:szCs w:val="20"/>
        </w:rPr>
        <w:t xml:space="preserve"> the following aspects</w:t>
      </w:r>
      <w:r w:rsidR="00A8777B" w:rsidRPr="00A10D5C">
        <w:rPr>
          <w:rFonts w:cs="Times New Roman"/>
          <w:szCs w:val="20"/>
        </w:rPr>
        <w:t>:</w:t>
      </w:r>
    </w:p>
    <w:p w14:paraId="28DB9D46" w14:textId="77777777" w:rsidR="00BC479D" w:rsidRPr="00A10D5C" w:rsidRDefault="00A8777B" w:rsidP="00BC479D">
      <w:pPr>
        <w:pStyle w:val="aa"/>
        <w:numPr>
          <w:ilvl w:val="0"/>
          <w:numId w:val="28"/>
        </w:numPr>
        <w:ind w:left="714" w:firstLineChars="0" w:hanging="357"/>
        <w:rPr>
          <w:rFonts w:ascii="Times New Roman" w:hAnsi="Times New Roman"/>
          <w:sz w:val="20"/>
          <w:szCs w:val="20"/>
        </w:rPr>
      </w:pPr>
      <w:r w:rsidRPr="00A10D5C">
        <w:rPr>
          <w:rFonts w:ascii="Times New Roman" w:hAnsi="Times New Roman"/>
          <w:sz w:val="20"/>
          <w:szCs w:val="20"/>
        </w:rPr>
        <w:t>Since the maximum bandwidth of an NB-IOT carrier is 200kHz, considering the expenditure of NPSS, NSSS, NPBCH, SIB and the massive amount of NB-IOT UEs, the capacity is relatively limited. Hence, non-anchor carrier is introduced. Up to 15 non-anchor carrier</w:t>
      </w:r>
      <w:r w:rsidR="00B27014" w:rsidRPr="00A10D5C">
        <w:rPr>
          <w:rFonts w:ascii="Times New Roman" w:hAnsi="Times New Roman"/>
          <w:sz w:val="20"/>
          <w:szCs w:val="20"/>
        </w:rPr>
        <w:t>s</w:t>
      </w:r>
      <w:r w:rsidRPr="00A10D5C">
        <w:rPr>
          <w:rFonts w:ascii="Times New Roman" w:hAnsi="Times New Roman"/>
          <w:sz w:val="20"/>
          <w:szCs w:val="20"/>
        </w:rPr>
        <w:t xml:space="preserve"> can be configured</w:t>
      </w:r>
      <w:bookmarkStart w:id="9" w:name="_Hlk92538289"/>
      <w:r w:rsidRPr="00A10D5C">
        <w:rPr>
          <w:rFonts w:ascii="Times New Roman" w:hAnsi="Times New Roman"/>
          <w:sz w:val="20"/>
          <w:szCs w:val="20"/>
        </w:rPr>
        <w:t>.</w:t>
      </w:r>
    </w:p>
    <w:p w14:paraId="37A2874D" w14:textId="0C2D607F" w:rsidR="00A8777B" w:rsidRPr="00A10D5C" w:rsidRDefault="00A8777B" w:rsidP="00B95B37">
      <w:pPr>
        <w:pStyle w:val="aa"/>
        <w:numPr>
          <w:ilvl w:val="0"/>
          <w:numId w:val="28"/>
        </w:numPr>
        <w:spacing w:after="120"/>
        <w:ind w:left="714" w:firstLineChars="0" w:hanging="357"/>
        <w:rPr>
          <w:rFonts w:ascii="Times New Roman" w:hAnsi="Times New Roman"/>
          <w:sz w:val="20"/>
          <w:szCs w:val="20"/>
        </w:rPr>
      </w:pPr>
      <w:r w:rsidRPr="00A10D5C">
        <w:rPr>
          <w:rFonts w:ascii="Times New Roman" w:hAnsi="Times New Roman"/>
          <w:sz w:val="20"/>
          <w:szCs w:val="20"/>
        </w:rPr>
        <w:t xml:space="preserve">UE only needs to </w:t>
      </w:r>
      <w:r w:rsidR="00B27014" w:rsidRPr="00A10D5C">
        <w:rPr>
          <w:rFonts w:ascii="Times New Roman" w:hAnsi="Times New Roman"/>
          <w:sz w:val="20"/>
          <w:szCs w:val="20"/>
        </w:rPr>
        <w:t>perform cell search on anchor carrier on predefined anchor PRB. It potentially reduces UE’s time cost for cell searching.</w:t>
      </w:r>
    </w:p>
    <w:p w14:paraId="1695C396" w14:textId="6B855062" w:rsidR="00B27014" w:rsidRPr="00A10D5C" w:rsidRDefault="00B27014" w:rsidP="00BC479D">
      <w:pPr>
        <w:spacing w:after="120"/>
        <w:rPr>
          <w:rFonts w:cs="Times New Roman"/>
          <w:szCs w:val="20"/>
        </w:rPr>
      </w:pPr>
      <w:r w:rsidRPr="00A10D5C">
        <w:rPr>
          <w:rFonts w:cs="Times New Roman"/>
          <w:szCs w:val="20"/>
        </w:rPr>
        <w:t>In Rel-13, paging and random access procedure are only supported on anchor carrier. When UE performs random access procedure on anchor carrier, UE can be later reconfigured to a non-anchor carrier for data transmission and reception. In Rel-14, with the motivation to offload paging and RACH on anchor carrier since the amount of NB-IOT UEs is large, paging and random access procedure are also supported on non-anchor carrier.</w:t>
      </w:r>
    </w:p>
    <w:p w14:paraId="7469AC78" w14:textId="4AE40D38" w:rsidR="00C67833" w:rsidRPr="00A10D5C" w:rsidRDefault="00117886" w:rsidP="00BC479D">
      <w:pPr>
        <w:spacing w:after="120"/>
        <w:rPr>
          <w:rFonts w:cs="Times New Roman"/>
          <w:szCs w:val="20"/>
        </w:rPr>
      </w:pPr>
      <w:r w:rsidRPr="00A10D5C">
        <w:rPr>
          <w:rFonts w:cs="Times New Roman"/>
          <w:szCs w:val="20"/>
        </w:rPr>
        <w:t>In</w:t>
      </w:r>
      <w:r w:rsidR="00C67833" w:rsidRPr="00A10D5C">
        <w:rPr>
          <w:rFonts w:cs="Times New Roman"/>
          <w:szCs w:val="20"/>
        </w:rPr>
        <w:t xml:space="preserve"> previous discussion</w:t>
      </w:r>
      <w:r w:rsidR="00B95B37" w:rsidRPr="00A10D5C">
        <w:rPr>
          <w:rFonts w:cs="Times New Roman"/>
          <w:szCs w:val="20"/>
        </w:rPr>
        <w:t>s</w:t>
      </w:r>
      <w:r w:rsidR="00C67833" w:rsidRPr="00A10D5C">
        <w:rPr>
          <w:rFonts w:cs="Times New Roman"/>
          <w:szCs w:val="20"/>
        </w:rPr>
        <w:t xml:space="preserve"> online and offline for NES, similar concept</w:t>
      </w:r>
      <w:r w:rsidR="002F1D02" w:rsidRPr="00A10D5C">
        <w:rPr>
          <w:rFonts w:cs="Times New Roman"/>
          <w:szCs w:val="20"/>
        </w:rPr>
        <w:t>, i.e.</w:t>
      </w:r>
      <w:r w:rsidR="00C67833" w:rsidRPr="00A10D5C">
        <w:rPr>
          <w:rFonts w:cs="Times New Roman"/>
          <w:szCs w:val="20"/>
        </w:rPr>
        <w:t xml:space="preserve"> (non-)anchor cell</w:t>
      </w:r>
      <w:r w:rsidR="002F1D02" w:rsidRPr="00A10D5C">
        <w:rPr>
          <w:rFonts w:cs="Times New Roman"/>
          <w:szCs w:val="20"/>
        </w:rPr>
        <w:t>,</w:t>
      </w:r>
      <w:r w:rsidR="00C67833" w:rsidRPr="00A10D5C">
        <w:rPr>
          <w:rFonts w:cs="Times New Roman"/>
          <w:szCs w:val="20"/>
        </w:rPr>
        <w:t xml:space="preserve"> is also </w:t>
      </w:r>
      <w:r w:rsidR="00B95B37" w:rsidRPr="00A10D5C">
        <w:rPr>
          <w:rFonts w:cs="Times New Roman"/>
          <w:szCs w:val="20"/>
        </w:rPr>
        <w:t>mentioned</w:t>
      </w:r>
      <w:r w:rsidR="00C67833" w:rsidRPr="00A10D5C">
        <w:rPr>
          <w:rFonts w:cs="Times New Roman"/>
          <w:szCs w:val="20"/>
        </w:rPr>
        <w:t xml:space="preserve"> as a potential frequency domain NES technique</w:t>
      </w:r>
      <w:r w:rsidR="00D167D4" w:rsidRPr="00A10D5C">
        <w:rPr>
          <w:rFonts w:cs="Times New Roman"/>
          <w:szCs w:val="20"/>
        </w:rPr>
        <w:t>, mainly to realize SSB/SIB1/Paging-less for non-anchor cells</w:t>
      </w:r>
      <w:r w:rsidR="00B95B37" w:rsidRPr="00A10D5C">
        <w:rPr>
          <w:rFonts w:cs="Times New Roman"/>
          <w:szCs w:val="20"/>
        </w:rPr>
        <w:t xml:space="preserve"> to </w:t>
      </w:r>
      <w:r w:rsidR="00B95B37" w:rsidRPr="00A10D5C">
        <w:rPr>
          <w:rFonts w:cs="Times New Roman"/>
          <w:szCs w:val="20"/>
        </w:rPr>
        <w:lastRenderedPageBreak/>
        <w:t>achieve NES gain</w:t>
      </w:r>
      <w:r w:rsidR="00C67833" w:rsidRPr="00A10D5C">
        <w:rPr>
          <w:rFonts w:cs="Times New Roman"/>
          <w:szCs w:val="20"/>
        </w:rPr>
        <w:t xml:space="preserve">. </w:t>
      </w:r>
    </w:p>
    <w:p w14:paraId="5ED0EB62" w14:textId="23B8B169" w:rsidR="00E93EDF" w:rsidRPr="00A10D5C" w:rsidRDefault="00117886" w:rsidP="00BC479D">
      <w:pPr>
        <w:spacing w:after="120"/>
        <w:rPr>
          <w:rFonts w:cs="Times New Roman"/>
          <w:szCs w:val="20"/>
        </w:rPr>
      </w:pPr>
      <w:r w:rsidRPr="00A10D5C">
        <w:rPr>
          <w:rFonts w:cs="Times New Roman"/>
          <w:szCs w:val="20"/>
        </w:rPr>
        <w:t>According to</w:t>
      </w:r>
      <w:r w:rsidR="00B95B37" w:rsidRPr="00A10D5C">
        <w:rPr>
          <w:rFonts w:cs="Times New Roman"/>
          <w:szCs w:val="20"/>
        </w:rPr>
        <w:t xml:space="preserve"> the current Spec, </w:t>
      </w:r>
      <w:r w:rsidRPr="00A10D5C">
        <w:rPr>
          <w:rFonts w:cs="Times New Roman"/>
          <w:szCs w:val="20"/>
        </w:rPr>
        <w:t>offloading SSB/SIB1</w:t>
      </w:r>
      <w:r w:rsidRPr="00A10D5C">
        <w:rPr>
          <w:rFonts w:cs="Times New Roman" w:hint="eastAsia"/>
          <w:szCs w:val="20"/>
        </w:rPr>
        <w:t>/</w:t>
      </w:r>
      <w:r w:rsidRPr="00A10D5C">
        <w:rPr>
          <w:rFonts w:cs="Times New Roman"/>
          <w:szCs w:val="20"/>
        </w:rPr>
        <w:t xml:space="preserve">paging to another cell may be technically supported </w:t>
      </w:r>
      <w:r w:rsidR="00E93EDF" w:rsidRPr="00A10D5C">
        <w:rPr>
          <w:rFonts w:cs="Times New Roman"/>
          <w:szCs w:val="20"/>
        </w:rPr>
        <w:t xml:space="preserve">without the need for further RAN1/4 input </w:t>
      </w:r>
      <w:r w:rsidRPr="00A10D5C">
        <w:rPr>
          <w:rFonts w:cs="Times New Roman"/>
          <w:szCs w:val="20"/>
        </w:rPr>
        <w:t>when we take legacy SCell A/D for intra-band case as a reference, e.g. SSB-less intra-band SCell. We assume the only difference between non-anchor cell and SCell is that, UE can at least perform RACH procedure on a non-anchor cell in IDLE state (FFS paging monitoring), while UE can only perform RACH procedure on SCell after the SCell is activated in RRC_CONNECTED state.</w:t>
      </w:r>
      <w:r w:rsidR="00E93EDF" w:rsidRPr="00A10D5C">
        <w:rPr>
          <w:rFonts w:cs="Times New Roman"/>
          <w:szCs w:val="20"/>
        </w:rPr>
        <w:t xml:space="preserve"> Therefore, we can discuss intra-band case for (non-)anchor cell as a start.</w:t>
      </w:r>
      <w:r w:rsidR="00E81C80" w:rsidRPr="00A10D5C">
        <w:rPr>
          <w:rFonts w:cs="Times New Roman"/>
          <w:szCs w:val="20"/>
        </w:rPr>
        <w:t xml:space="preserve"> </w:t>
      </w:r>
      <w:r w:rsidR="00E93EDF" w:rsidRPr="00A10D5C">
        <w:rPr>
          <w:rFonts w:cs="Times New Roman"/>
          <w:szCs w:val="20"/>
        </w:rPr>
        <w:t xml:space="preserve">As for inter-band case, whether SSB can be offloaded to another carrier may involve further RAN1/4 study, since the Spec has not supported SSB-less inter-band SCell. </w:t>
      </w:r>
    </w:p>
    <w:p w14:paraId="7F7AD9C4" w14:textId="42DF549E" w:rsidR="00E81C80" w:rsidRPr="00A10D5C" w:rsidRDefault="00E81C80" w:rsidP="00F002CA">
      <w:pPr>
        <w:pStyle w:val="aa"/>
        <w:numPr>
          <w:ilvl w:val="0"/>
          <w:numId w:val="29"/>
        </w:numPr>
        <w:ind w:left="1701" w:firstLineChars="0" w:hanging="1701"/>
        <w:rPr>
          <w:rFonts w:ascii="Times New Roman" w:hAnsi="Times New Roman"/>
          <w:b/>
          <w:sz w:val="20"/>
          <w:szCs w:val="20"/>
        </w:rPr>
      </w:pPr>
      <w:r w:rsidRPr="00A10D5C">
        <w:rPr>
          <w:rFonts w:ascii="Times New Roman" w:hAnsi="Times New Roman"/>
          <w:b/>
          <w:sz w:val="20"/>
          <w:szCs w:val="20"/>
        </w:rPr>
        <w:t>For further study of offloading SSB/SIB1 of a NES cell to anchor cell, focus on intra-band case as a start.</w:t>
      </w:r>
    </w:p>
    <w:p w14:paraId="0CBDFF54" w14:textId="1965DC53" w:rsidR="00A37D55" w:rsidRPr="00A10D5C" w:rsidRDefault="00A37D55" w:rsidP="00E81C80">
      <w:pPr>
        <w:pStyle w:val="aa"/>
        <w:numPr>
          <w:ilvl w:val="0"/>
          <w:numId w:val="29"/>
        </w:numPr>
        <w:spacing w:after="120"/>
        <w:ind w:left="1701" w:firstLineChars="0" w:hanging="1701"/>
        <w:rPr>
          <w:rFonts w:ascii="Times New Roman" w:hAnsi="Times New Roman"/>
          <w:b/>
          <w:sz w:val="20"/>
          <w:szCs w:val="20"/>
        </w:rPr>
      </w:pPr>
      <w:r w:rsidRPr="00A10D5C">
        <w:rPr>
          <w:rFonts w:ascii="Times New Roman" w:hAnsi="Times New Roman"/>
          <w:b/>
          <w:sz w:val="20"/>
          <w:szCs w:val="20"/>
        </w:rPr>
        <w:t>Wait for RAN1/4 input about whether SSB of a cell can be offloaded to another inter-band cell.</w:t>
      </w:r>
    </w:p>
    <w:bookmarkEnd w:id="9"/>
    <w:p w14:paraId="74CDD6C6" w14:textId="20467724" w:rsidR="001A25FC" w:rsidRPr="00A10D5C" w:rsidRDefault="00E81C80" w:rsidP="00A37D55">
      <w:pPr>
        <w:rPr>
          <w:szCs w:val="20"/>
        </w:rPr>
      </w:pPr>
      <w:r w:rsidRPr="00A10D5C">
        <w:rPr>
          <w:szCs w:val="20"/>
        </w:rPr>
        <w:t xml:space="preserve">Then, we </w:t>
      </w:r>
      <w:r w:rsidR="00D25D2F" w:rsidRPr="00A10D5C">
        <w:rPr>
          <w:szCs w:val="20"/>
        </w:rPr>
        <w:t>may need to discuss the definition of anchor cell</w:t>
      </w:r>
      <w:r w:rsidR="00D25D2F" w:rsidRPr="00A10D5C">
        <w:rPr>
          <w:rFonts w:hint="eastAsia"/>
          <w:szCs w:val="20"/>
        </w:rPr>
        <w:t>/</w:t>
      </w:r>
      <w:r w:rsidR="00D25D2F" w:rsidRPr="00A10D5C">
        <w:rPr>
          <w:szCs w:val="20"/>
        </w:rPr>
        <w:t>non-anchor cell and the relation between them</w:t>
      </w:r>
      <w:r w:rsidR="000C3F52" w:rsidRPr="00A10D5C">
        <w:rPr>
          <w:szCs w:val="20"/>
        </w:rPr>
        <w:t>, to help us further understand what to study later</w:t>
      </w:r>
      <w:r w:rsidR="00D25D2F" w:rsidRPr="00A10D5C">
        <w:rPr>
          <w:szCs w:val="20"/>
        </w:rPr>
        <w:t>.</w:t>
      </w:r>
      <w:r w:rsidR="00A37D55" w:rsidRPr="00A10D5C">
        <w:rPr>
          <w:szCs w:val="20"/>
        </w:rPr>
        <w:t xml:space="preserve"> The following questions </w:t>
      </w:r>
      <w:r w:rsidR="000C3F52" w:rsidRPr="00A10D5C">
        <w:rPr>
          <w:szCs w:val="20"/>
        </w:rPr>
        <w:t>should</w:t>
      </w:r>
      <w:r w:rsidR="00A37D55" w:rsidRPr="00A10D5C">
        <w:rPr>
          <w:szCs w:val="20"/>
        </w:rPr>
        <w:t xml:space="preserve"> be evaluated first:</w:t>
      </w:r>
    </w:p>
    <w:p w14:paraId="28D98240" w14:textId="7F4BAC41" w:rsidR="00A37D55" w:rsidRPr="00A10D5C" w:rsidRDefault="00A37D55" w:rsidP="00A37D55">
      <w:pPr>
        <w:pStyle w:val="aa"/>
        <w:numPr>
          <w:ilvl w:val="0"/>
          <w:numId w:val="31"/>
        </w:numPr>
        <w:ind w:firstLineChars="0"/>
        <w:rPr>
          <w:rFonts w:ascii="Times New Roman" w:hAnsi="Times New Roman"/>
          <w:sz w:val="20"/>
          <w:szCs w:val="20"/>
        </w:rPr>
      </w:pPr>
      <w:r w:rsidRPr="00A10D5C">
        <w:rPr>
          <w:rFonts w:ascii="Times New Roman" w:hAnsi="Times New Roman"/>
          <w:sz w:val="20"/>
          <w:szCs w:val="20"/>
        </w:rPr>
        <w:t>Whether SSB/SIB1 is only broadcasted in anchor cell?</w:t>
      </w:r>
    </w:p>
    <w:p w14:paraId="639538C8" w14:textId="313924B3" w:rsidR="00A37D55" w:rsidRPr="00A10D5C" w:rsidRDefault="00A37D55" w:rsidP="008A6196">
      <w:pPr>
        <w:pStyle w:val="aa"/>
        <w:numPr>
          <w:ilvl w:val="0"/>
          <w:numId w:val="31"/>
        </w:numPr>
        <w:ind w:left="714" w:firstLineChars="0" w:hanging="357"/>
        <w:rPr>
          <w:rFonts w:ascii="Times New Roman" w:hAnsi="Times New Roman"/>
          <w:sz w:val="20"/>
          <w:szCs w:val="20"/>
        </w:rPr>
      </w:pPr>
      <w:r w:rsidRPr="00A10D5C">
        <w:rPr>
          <w:rFonts w:ascii="Times New Roman" w:hAnsi="Times New Roman"/>
          <w:sz w:val="20"/>
          <w:szCs w:val="20"/>
        </w:rPr>
        <w:t xml:space="preserve">Whether paging is supported in </w:t>
      </w:r>
      <w:r w:rsidR="008A6196" w:rsidRPr="00A10D5C">
        <w:rPr>
          <w:rFonts w:ascii="Times New Roman" w:hAnsi="Times New Roman"/>
          <w:sz w:val="20"/>
          <w:szCs w:val="20"/>
        </w:rPr>
        <w:t xml:space="preserve">both anchor cell and </w:t>
      </w:r>
      <w:r w:rsidRPr="00A10D5C">
        <w:rPr>
          <w:rFonts w:ascii="Times New Roman" w:hAnsi="Times New Roman"/>
          <w:sz w:val="20"/>
          <w:szCs w:val="20"/>
        </w:rPr>
        <w:t>non-anchor cell?</w:t>
      </w:r>
    </w:p>
    <w:p w14:paraId="64188A26" w14:textId="19974396" w:rsidR="008A6196" w:rsidRPr="00A10D5C" w:rsidRDefault="008A6196" w:rsidP="008A6196">
      <w:pPr>
        <w:pStyle w:val="aa"/>
        <w:numPr>
          <w:ilvl w:val="0"/>
          <w:numId w:val="31"/>
        </w:numPr>
        <w:spacing w:after="120"/>
        <w:ind w:left="714" w:firstLineChars="0" w:hanging="357"/>
        <w:rPr>
          <w:rFonts w:ascii="Times New Roman" w:hAnsi="Times New Roman"/>
          <w:sz w:val="20"/>
          <w:szCs w:val="20"/>
        </w:rPr>
      </w:pPr>
      <w:r w:rsidRPr="00A10D5C">
        <w:rPr>
          <w:rFonts w:ascii="Times New Roman" w:hAnsi="Times New Roman"/>
          <w:sz w:val="20"/>
          <w:szCs w:val="20"/>
        </w:rPr>
        <w:t>Whether random access is supported in both anchor cell and non-anchor cell?</w:t>
      </w:r>
    </w:p>
    <w:p w14:paraId="4DAE28CD" w14:textId="6A280744" w:rsidR="00A37D55" w:rsidRPr="00A10D5C" w:rsidRDefault="00A37D55" w:rsidP="00A37D55">
      <w:pPr>
        <w:pStyle w:val="aa"/>
        <w:numPr>
          <w:ilvl w:val="0"/>
          <w:numId w:val="29"/>
        </w:numPr>
        <w:ind w:left="1701" w:firstLineChars="0" w:hanging="1701"/>
        <w:rPr>
          <w:rFonts w:ascii="Times New Roman" w:hAnsi="Times New Roman"/>
          <w:b/>
          <w:sz w:val="20"/>
          <w:szCs w:val="20"/>
        </w:rPr>
      </w:pPr>
      <w:r w:rsidRPr="00A10D5C">
        <w:rPr>
          <w:rFonts w:ascii="Times New Roman" w:hAnsi="Times New Roman"/>
          <w:b/>
          <w:sz w:val="20"/>
          <w:szCs w:val="20"/>
        </w:rPr>
        <w:t>RAN2 to discuss definition of anchor cell/non-anchor cell and the relation between them:</w:t>
      </w:r>
    </w:p>
    <w:p w14:paraId="1CABAF05" w14:textId="7213DF4D" w:rsidR="00A37D55" w:rsidRPr="00A10D5C" w:rsidRDefault="00A37D55" w:rsidP="00A37D55">
      <w:pPr>
        <w:pStyle w:val="aa"/>
        <w:numPr>
          <w:ilvl w:val="0"/>
          <w:numId w:val="32"/>
        </w:numPr>
        <w:ind w:firstLineChars="0"/>
        <w:rPr>
          <w:rFonts w:ascii="Times New Roman" w:hAnsi="Times New Roman"/>
          <w:b/>
          <w:sz w:val="20"/>
          <w:szCs w:val="20"/>
        </w:rPr>
      </w:pPr>
      <w:r w:rsidRPr="00A10D5C">
        <w:rPr>
          <w:rFonts w:ascii="Times New Roman" w:hAnsi="Times New Roman"/>
          <w:b/>
          <w:sz w:val="20"/>
          <w:szCs w:val="20"/>
        </w:rPr>
        <w:t>Whether SSB/SIB1 is only broadcasted in anchor cell?</w:t>
      </w:r>
    </w:p>
    <w:p w14:paraId="7F6A8348" w14:textId="551D83D5" w:rsidR="00A37D55" w:rsidRPr="00A10D5C" w:rsidRDefault="00A37D55" w:rsidP="00A37D55">
      <w:pPr>
        <w:pStyle w:val="aa"/>
        <w:numPr>
          <w:ilvl w:val="0"/>
          <w:numId w:val="32"/>
        </w:numPr>
        <w:ind w:firstLineChars="0"/>
        <w:rPr>
          <w:rFonts w:ascii="Times New Roman" w:hAnsi="Times New Roman"/>
          <w:b/>
          <w:sz w:val="20"/>
          <w:szCs w:val="20"/>
        </w:rPr>
      </w:pPr>
      <w:r w:rsidRPr="00A10D5C">
        <w:rPr>
          <w:rFonts w:ascii="Times New Roman" w:hAnsi="Times New Roman"/>
          <w:b/>
          <w:sz w:val="20"/>
          <w:szCs w:val="20"/>
        </w:rPr>
        <w:t xml:space="preserve">Whether paging is supported in </w:t>
      </w:r>
      <w:r w:rsidR="00F002CA" w:rsidRPr="00A10D5C">
        <w:rPr>
          <w:rFonts w:ascii="Times New Roman" w:hAnsi="Times New Roman"/>
          <w:b/>
          <w:sz w:val="20"/>
          <w:szCs w:val="20"/>
        </w:rPr>
        <w:t xml:space="preserve">both anchor cell and </w:t>
      </w:r>
      <w:r w:rsidRPr="00A10D5C">
        <w:rPr>
          <w:rFonts w:ascii="Times New Roman" w:hAnsi="Times New Roman"/>
          <w:b/>
          <w:sz w:val="20"/>
          <w:szCs w:val="20"/>
        </w:rPr>
        <w:t>non-anchor cell?</w:t>
      </w:r>
    </w:p>
    <w:p w14:paraId="68576522" w14:textId="7E5BBE96" w:rsidR="008A6196" w:rsidRPr="00A10D5C" w:rsidRDefault="008A6196" w:rsidP="008A6196">
      <w:pPr>
        <w:pStyle w:val="aa"/>
        <w:numPr>
          <w:ilvl w:val="0"/>
          <w:numId w:val="32"/>
        </w:numPr>
        <w:ind w:firstLineChars="0"/>
        <w:rPr>
          <w:rFonts w:ascii="Times New Roman" w:hAnsi="Times New Roman"/>
          <w:b/>
          <w:sz w:val="20"/>
          <w:szCs w:val="20"/>
        </w:rPr>
      </w:pPr>
      <w:r w:rsidRPr="00A10D5C">
        <w:rPr>
          <w:rFonts w:ascii="Times New Roman" w:hAnsi="Times New Roman"/>
          <w:b/>
          <w:sz w:val="20"/>
          <w:szCs w:val="20"/>
        </w:rPr>
        <w:t>Whether random access is supported in both anchor cell and non-anchor cell?</w:t>
      </w:r>
    </w:p>
    <w:p w14:paraId="10314845" w14:textId="7A2C403F" w:rsidR="00A37D55" w:rsidRPr="00A10D5C" w:rsidRDefault="008A6196" w:rsidP="00A37D55">
      <w:pPr>
        <w:rPr>
          <w:szCs w:val="20"/>
        </w:rPr>
      </w:pPr>
      <w:r w:rsidRPr="00A10D5C">
        <w:rPr>
          <w:szCs w:val="20"/>
        </w:rPr>
        <w:t>If random access is supported in non-anchor</w:t>
      </w:r>
      <w:r w:rsidR="008E3EBE" w:rsidRPr="00A10D5C">
        <w:rPr>
          <w:szCs w:val="20"/>
        </w:rPr>
        <w:t xml:space="preserve"> cell, and if SSB of non-anchor cell cannot be offloaded to another inter-band cell (i.e. anchor cell), we observe that UL WUS can be applied to trigger this non-anchor cell to transmit on-demand SSB for the upcoming random access procedure. With this, non-anchor cell can reduce SSB transmission when there is no UE request and achieve some NES gain.</w:t>
      </w:r>
    </w:p>
    <w:p w14:paraId="0EA9973E" w14:textId="0ACBD93A" w:rsidR="00AC4713" w:rsidRPr="00E51745" w:rsidRDefault="00AC4713" w:rsidP="00A37D55">
      <w:pPr>
        <w:pStyle w:val="aa"/>
        <w:numPr>
          <w:ilvl w:val="0"/>
          <w:numId w:val="29"/>
        </w:numPr>
        <w:spacing w:after="120"/>
        <w:ind w:left="1701" w:firstLineChars="0" w:hanging="1701"/>
        <w:rPr>
          <w:rFonts w:ascii="Times New Roman" w:hAnsi="Times New Roman"/>
          <w:b/>
          <w:sz w:val="20"/>
          <w:szCs w:val="20"/>
        </w:rPr>
      </w:pPr>
      <w:r w:rsidRPr="00A10D5C">
        <w:rPr>
          <w:rFonts w:ascii="Times New Roman" w:hAnsi="Times New Roman"/>
          <w:b/>
          <w:sz w:val="20"/>
          <w:szCs w:val="20"/>
        </w:rPr>
        <w:t>If SSB of a NES non-anchor cell cannot be offloaded to an inter-band anchor cell, UL WUS can be a potential solution to trigger for on-demand SSB on this non-anchor cell.</w:t>
      </w:r>
    </w:p>
    <w:p w14:paraId="53E598F0" w14:textId="67E01413" w:rsidR="00B74C93" w:rsidRDefault="00C3134B" w:rsidP="007B6FE7">
      <w:pPr>
        <w:pStyle w:val="2"/>
        <w:ind w:left="1134" w:hanging="1134"/>
      </w:pPr>
      <w:r>
        <w:rPr>
          <w:rFonts w:hint="eastAsia"/>
        </w:rPr>
        <w:t>B</w:t>
      </w:r>
      <w:r>
        <w:t xml:space="preserve">WP </w:t>
      </w:r>
      <w:r w:rsidR="009202B7" w:rsidRPr="009564AE">
        <w:t>adaptation</w:t>
      </w:r>
    </w:p>
    <w:p w14:paraId="1C186A20" w14:textId="742F029D" w:rsidR="00312FA2" w:rsidRDefault="00312FA2" w:rsidP="00312FA2">
      <w:pPr>
        <w:rPr>
          <w:lang w:val="en-GB"/>
        </w:rPr>
      </w:pPr>
      <w:r>
        <w:t>Transmission bandwidth is a key factor in power consumption</w:t>
      </w:r>
      <w:r w:rsidR="001F2A35">
        <w:t>, th</w:t>
      </w:r>
      <w:r w:rsidR="008D7126">
        <w:t>us</w:t>
      </w:r>
      <w:r>
        <w:t xml:space="preserve"> </w:t>
      </w:r>
      <w:r>
        <w:rPr>
          <w:rFonts w:hint="eastAsia"/>
        </w:rPr>
        <w:t>B</w:t>
      </w:r>
      <w:r>
        <w:t xml:space="preserve">WP framework </w:t>
      </w:r>
      <w:r w:rsidR="00A15AF9">
        <w:t>was</w:t>
      </w:r>
      <w:r>
        <w:t xml:space="preserve"> introduced in NR, which enables the network to dynamically change UE’s transmission bandwidth based on the current UE’s traffic requirement, </w:t>
      </w:r>
      <w:r w:rsidR="00DE7AAC">
        <w:t>reducing</w:t>
      </w:r>
      <w:r>
        <w:t xml:space="preserve"> UE power </w:t>
      </w:r>
      <w:r w:rsidR="00664978">
        <w:t xml:space="preserve">consumption </w:t>
      </w:r>
      <w:r>
        <w:t xml:space="preserve">significantly. </w:t>
      </w:r>
      <w:r w:rsidR="00E33B57">
        <w:t xml:space="preserve">For network energy saving </w:t>
      </w:r>
      <w:r w:rsidR="00E5164D">
        <w:t>purpose</w:t>
      </w:r>
      <w:r>
        <w:t>, w</w:t>
      </w:r>
      <w:r>
        <w:rPr>
          <w:lang w:val="en-GB"/>
        </w:rPr>
        <w:t xml:space="preserve">hen one </w:t>
      </w:r>
      <w:r w:rsidRPr="00C32E0E">
        <w:rPr>
          <w:lang w:val="en-GB"/>
        </w:rPr>
        <w:t>cell is low load</w:t>
      </w:r>
      <w:r>
        <w:rPr>
          <w:lang w:val="en-GB"/>
        </w:rPr>
        <w:t xml:space="preserve"> (</w:t>
      </w:r>
      <w:r w:rsidR="00F14E2C">
        <w:rPr>
          <w:lang w:val="en-GB"/>
        </w:rPr>
        <w:t xml:space="preserve">including </w:t>
      </w:r>
      <w:r w:rsidR="00432C41">
        <w:rPr>
          <w:lang w:val="en-GB"/>
        </w:rPr>
        <w:t xml:space="preserve">only </w:t>
      </w:r>
      <w:r w:rsidR="001B3136">
        <w:rPr>
          <w:lang w:val="en-GB"/>
        </w:rPr>
        <w:t>s</w:t>
      </w:r>
      <w:r>
        <w:rPr>
          <w:lang w:val="en-GB"/>
        </w:rPr>
        <w:t xml:space="preserve">everal UEs in this cell, or all the UEs </w:t>
      </w:r>
      <w:r w:rsidR="008E0056">
        <w:rPr>
          <w:lang w:val="en-GB"/>
        </w:rPr>
        <w:t xml:space="preserve">in this cell </w:t>
      </w:r>
      <w:r>
        <w:rPr>
          <w:lang w:val="en-GB"/>
        </w:rPr>
        <w:t>only have low traffic)</w:t>
      </w:r>
      <w:r w:rsidRPr="00C32E0E">
        <w:rPr>
          <w:lang w:val="en-GB"/>
        </w:rPr>
        <w:t xml:space="preserve">, the network </w:t>
      </w:r>
      <w:r>
        <w:rPr>
          <w:lang w:val="en-GB"/>
        </w:rPr>
        <w:t>may try to</w:t>
      </w:r>
      <w:r w:rsidRPr="00C32E0E">
        <w:rPr>
          <w:lang w:val="en-GB"/>
        </w:rPr>
        <w:t xml:space="preserve"> </w:t>
      </w:r>
      <w:r>
        <w:rPr>
          <w:lang w:val="en-GB"/>
        </w:rPr>
        <w:t xml:space="preserve">use smaller transmission bandwidth to serve </w:t>
      </w:r>
      <w:r w:rsidRPr="00C32E0E">
        <w:rPr>
          <w:lang w:val="en-GB"/>
        </w:rPr>
        <w:t xml:space="preserve">all UEs of the cell. </w:t>
      </w:r>
    </w:p>
    <w:p w14:paraId="1C96587F" w14:textId="4A843459" w:rsidR="00781E81" w:rsidRDefault="005A352B" w:rsidP="00312FA2">
      <w:pPr>
        <w:rPr>
          <w:lang w:val="en-GB"/>
        </w:rPr>
      </w:pPr>
      <w:r>
        <w:rPr>
          <w:lang w:val="en-GB"/>
        </w:rPr>
        <w:t>T</w:t>
      </w:r>
      <w:r w:rsidR="00312FA2">
        <w:rPr>
          <w:lang w:val="en-GB"/>
        </w:rPr>
        <w:t xml:space="preserve">o achieve this, the network can configure one of UE specific BWPs of all UEs in the cell to be the same, and switch all UEs to this BWP by sending per UE BWP switching command. </w:t>
      </w:r>
      <w:r w:rsidR="00312FA2" w:rsidRPr="00C32E0E">
        <w:rPr>
          <w:lang w:val="en-GB"/>
        </w:rPr>
        <w:t xml:space="preserve">However, </w:t>
      </w:r>
      <w:r w:rsidR="00312FA2">
        <w:rPr>
          <w:lang w:val="en-GB"/>
        </w:rPr>
        <w:t xml:space="preserve">sending per UE </w:t>
      </w:r>
      <w:r w:rsidR="00312FA2" w:rsidRPr="00C32E0E">
        <w:rPr>
          <w:lang w:val="en-GB"/>
        </w:rPr>
        <w:t xml:space="preserve">BWP switching command to </w:t>
      </w:r>
      <w:r w:rsidR="00312FA2">
        <w:rPr>
          <w:lang w:val="en-GB"/>
        </w:rPr>
        <w:t xml:space="preserve">all UEs simultaneously </w:t>
      </w:r>
      <w:r w:rsidR="00781E81">
        <w:rPr>
          <w:lang w:val="en-GB"/>
        </w:rPr>
        <w:t>have the below drawbacks:</w:t>
      </w:r>
    </w:p>
    <w:p w14:paraId="0088078F" w14:textId="301709F1" w:rsidR="008F708F" w:rsidRPr="00242A77" w:rsidRDefault="00781E81" w:rsidP="00242A77">
      <w:pPr>
        <w:pStyle w:val="aa"/>
        <w:numPr>
          <w:ilvl w:val="0"/>
          <w:numId w:val="35"/>
        </w:numPr>
        <w:ind w:firstLineChars="0"/>
        <w:rPr>
          <w:rFonts w:ascii="Times New Roman" w:eastAsiaTheme="minorEastAsia" w:hAnsi="Times New Roman" w:cstheme="minorBidi"/>
          <w:sz w:val="20"/>
          <w:szCs w:val="21"/>
          <w:lang w:val="en-GB"/>
        </w:rPr>
      </w:pPr>
      <w:r w:rsidRPr="00242A77">
        <w:rPr>
          <w:rFonts w:ascii="Times New Roman" w:eastAsiaTheme="minorEastAsia" w:hAnsi="Times New Roman" w:cstheme="minorBidi"/>
          <w:sz w:val="20"/>
          <w:szCs w:val="21"/>
          <w:lang w:val="en-GB"/>
        </w:rPr>
        <w:t xml:space="preserve">It </w:t>
      </w:r>
      <w:r w:rsidR="00312FA2" w:rsidRPr="00242A77">
        <w:rPr>
          <w:rFonts w:ascii="Times New Roman" w:eastAsiaTheme="minorEastAsia" w:hAnsi="Times New Roman" w:cstheme="minorBidi"/>
          <w:sz w:val="20"/>
          <w:szCs w:val="21"/>
          <w:lang w:val="en-GB"/>
        </w:rPr>
        <w:t>will cause signalling overhead</w:t>
      </w:r>
      <w:r w:rsidR="009254B8" w:rsidRPr="00242A77">
        <w:rPr>
          <w:rFonts w:ascii="Times New Roman" w:eastAsiaTheme="minorEastAsia" w:hAnsi="Times New Roman" w:cstheme="minorBidi"/>
          <w:sz w:val="20"/>
          <w:szCs w:val="21"/>
          <w:lang w:val="en-GB"/>
        </w:rPr>
        <w:t xml:space="preserve"> if </w:t>
      </w:r>
      <w:r w:rsidR="003C632C" w:rsidRPr="00242A77">
        <w:rPr>
          <w:rFonts w:ascii="Times New Roman" w:eastAsiaTheme="minorEastAsia" w:hAnsi="Times New Roman" w:cstheme="minorBidi"/>
          <w:sz w:val="20"/>
          <w:szCs w:val="21"/>
          <w:lang w:val="en-GB"/>
        </w:rPr>
        <w:t xml:space="preserve">the network wants to save power </w:t>
      </w:r>
      <w:r w:rsidR="00D5691E" w:rsidRPr="00242A77">
        <w:rPr>
          <w:rFonts w:ascii="Times New Roman" w:eastAsiaTheme="minorEastAsia" w:hAnsi="Times New Roman" w:cstheme="minorBidi"/>
          <w:sz w:val="20"/>
          <w:szCs w:val="21"/>
          <w:lang w:val="en-GB"/>
        </w:rPr>
        <w:t>i</w:t>
      </w:r>
      <w:r w:rsidR="00D5691E">
        <w:rPr>
          <w:rFonts w:ascii="Times New Roman" w:eastAsiaTheme="minorEastAsia" w:hAnsi="Times New Roman" w:cstheme="minorBidi"/>
          <w:sz w:val="20"/>
          <w:szCs w:val="21"/>
          <w:lang w:val="en-GB"/>
        </w:rPr>
        <w:t>n</w:t>
      </w:r>
      <w:r w:rsidR="00D5691E" w:rsidRPr="00242A77">
        <w:rPr>
          <w:rFonts w:ascii="Times New Roman" w:eastAsiaTheme="minorEastAsia" w:hAnsi="Times New Roman" w:cstheme="minorBidi"/>
          <w:sz w:val="20"/>
          <w:szCs w:val="21"/>
          <w:lang w:val="en-GB"/>
        </w:rPr>
        <w:t xml:space="preserve"> </w:t>
      </w:r>
      <w:r w:rsidR="003C632C" w:rsidRPr="00242A77">
        <w:rPr>
          <w:rFonts w:ascii="Times New Roman" w:eastAsiaTheme="minorEastAsia" w:hAnsi="Times New Roman" w:cstheme="minorBidi"/>
          <w:sz w:val="20"/>
          <w:szCs w:val="21"/>
          <w:lang w:val="en-GB"/>
        </w:rPr>
        <w:t xml:space="preserve">the case that </w:t>
      </w:r>
      <w:r w:rsidR="00D5691E">
        <w:rPr>
          <w:rFonts w:ascii="Times New Roman" w:eastAsiaTheme="minorEastAsia" w:hAnsi="Times New Roman" w:cstheme="minorBidi"/>
          <w:sz w:val="20"/>
          <w:szCs w:val="21"/>
          <w:lang w:val="en-GB"/>
        </w:rPr>
        <w:t xml:space="preserve">there are many </w:t>
      </w:r>
      <w:r w:rsidR="00B247DC" w:rsidRPr="00242A77">
        <w:rPr>
          <w:rFonts w:ascii="Times New Roman" w:eastAsiaTheme="minorEastAsia" w:hAnsi="Times New Roman" w:cstheme="minorBidi"/>
          <w:sz w:val="20"/>
          <w:szCs w:val="21"/>
          <w:lang w:val="en-GB"/>
        </w:rPr>
        <w:t>UEs</w:t>
      </w:r>
      <w:r w:rsidR="00B1416A">
        <w:rPr>
          <w:rFonts w:ascii="Times New Roman" w:eastAsiaTheme="minorEastAsia" w:hAnsi="Times New Roman" w:cstheme="minorBidi"/>
          <w:sz w:val="20"/>
          <w:szCs w:val="21"/>
          <w:lang w:val="en-GB"/>
        </w:rPr>
        <w:t xml:space="preserve"> in the cell but</w:t>
      </w:r>
      <w:r w:rsidR="00B247DC" w:rsidRPr="00242A77">
        <w:rPr>
          <w:rFonts w:ascii="Times New Roman" w:eastAsiaTheme="minorEastAsia" w:hAnsi="Times New Roman" w:cstheme="minorBidi"/>
          <w:sz w:val="20"/>
          <w:szCs w:val="21"/>
          <w:lang w:val="en-GB"/>
        </w:rPr>
        <w:t xml:space="preserve"> only have low traffic</w:t>
      </w:r>
      <w:r w:rsidR="00CC6217" w:rsidRPr="00242A77">
        <w:rPr>
          <w:rFonts w:ascii="Times New Roman" w:eastAsiaTheme="minorEastAsia" w:hAnsi="Times New Roman" w:cstheme="minorBidi"/>
          <w:sz w:val="20"/>
          <w:szCs w:val="21"/>
          <w:lang w:val="en-GB"/>
        </w:rPr>
        <w:t xml:space="preserve">. Besides, </w:t>
      </w:r>
      <w:r w:rsidR="00DE7EAB" w:rsidRPr="00242A77">
        <w:rPr>
          <w:rFonts w:ascii="Times New Roman" w:eastAsiaTheme="minorEastAsia" w:hAnsi="Times New Roman" w:cstheme="minorBidi"/>
          <w:sz w:val="20"/>
          <w:szCs w:val="21"/>
          <w:lang w:val="en-GB"/>
        </w:rPr>
        <w:t xml:space="preserve">if dynamic network energy saving is </w:t>
      </w:r>
      <w:r w:rsidR="005954FF">
        <w:rPr>
          <w:rFonts w:ascii="Times New Roman" w:eastAsiaTheme="minorEastAsia" w:hAnsi="Times New Roman" w:cstheme="minorBidi"/>
          <w:sz w:val="20"/>
          <w:szCs w:val="21"/>
          <w:lang w:val="en-GB"/>
        </w:rPr>
        <w:t>pursued</w:t>
      </w:r>
      <w:r w:rsidR="00DE7EAB" w:rsidRPr="00242A77">
        <w:rPr>
          <w:rFonts w:ascii="Times New Roman" w:eastAsiaTheme="minorEastAsia" w:hAnsi="Times New Roman" w:cstheme="minorBidi"/>
          <w:sz w:val="20"/>
          <w:szCs w:val="21"/>
          <w:lang w:val="en-GB"/>
        </w:rPr>
        <w:t xml:space="preserve">, this signalling overhead </w:t>
      </w:r>
      <w:r w:rsidR="000113B8">
        <w:rPr>
          <w:rFonts w:ascii="Times New Roman" w:eastAsiaTheme="minorEastAsia" w:hAnsi="Times New Roman" w:cstheme="minorBidi"/>
          <w:sz w:val="20"/>
          <w:szCs w:val="21"/>
          <w:lang w:val="en-GB"/>
        </w:rPr>
        <w:t xml:space="preserve">for BWP switching </w:t>
      </w:r>
      <w:r w:rsidR="00DE7EAB" w:rsidRPr="00242A77">
        <w:rPr>
          <w:rFonts w:ascii="Times New Roman" w:eastAsiaTheme="minorEastAsia" w:hAnsi="Times New Roman" w:cstheme="minorBidi"/>
          <w:sz w:val="20"/>
          <w:szCs w:val="21"/>
          <w:lang w:val="en-GB"/>
        </w:rPr>
        <w:t xml:space="preserve">is large. </w:t>
      </w:r>
      <w:r w:rsidR="00417390" w:rsidRPr="00242A77">
        <w:rPr>
          <w:rFonts w:ascii="Times New Roman" w:eastAsiaTheme="minorEastAsia" w:hAnsi="Times New Roman" w:cstheme="minorBidi"/>
          <w:sz w:val="20"/>
          <w:szCs w:val="21"/>
          <w:lang w:val="en-GB"/>
        </w:rPr>
        <w:t xml:space="preserve"> </w:t>
      </w:r>
    </w:p>
    <w:p w14:paraId="530D284C" w14:textId="36F7EBCB" w:rsidR="006E4196" w:rsidRPr="00242A77" w:rsidRDefault="002E51B6" w:rsidP="00242A77">
      <w:pPr>
        <w:pStyle w:val="aa"/>
        <w:numPr>
          <w:ilvl w:val="0"/>
          <w:numId w:val="35"/>
        </w:numPr>
        <w:ind w:firstLineChars="0"/>
        <w:rPr>
          <w:rFonts w:ascii="Times New Roman" w:eastAsiaTheme="minorEastAsia" w:hAnsi="Times New Roman" w:cstheme="minorBidi"/>
          <w:sz w:val="20"/>
          <w:szCs w:val="21"/>
          <w:lang w:val="en-GB"/>
        </w:rPr>
      </w:pPr>
      <w:r w:rsidRPr="00242A77">
        <w:rPr>
          <w:rFonts w:ascii="Times New Roman" w:eastAsiaTheme="minorEastAsia" w:hAnsi="Times New Roman" w:cstheme="minorBidi"/>
          <w:sz w:val="20"/>
          <w:szCs w:val="21"/>
          <w:lang w:val="en-GB"/>
        </w:rPr>
        <w:t>F</w:t>
      </w:r>
      <w:r w:rsidR="00D66976" w:rsidRPr="00242A77">
        <w:rPr>
          <w:rFonts w:ascii="Times New Roman" w:eastAsiaTheme="minorEastAsia" w:hAnsi="Times New Roman" w:cstheme="minorBidi"/>
          <w:sz w:val="20"/>
          <w:szCs w:val="21"/>
          <w:lang w:val="en-GB"/>
        </w:rPr>
        <w:t>rom the SID</w:t>
      </w:r>
      <w:r w:rsidR="00484CEE" w:rsidRPr="00242A77">
        <w:rPr>
          <w:rFonts w:ascii="Times New Roman" w:eastAsiaTheme="minorEastAsia" w:hAnsi="Times New Roman" w:cstheme="minorBidi"/>
          <w:sz w:val="20"/>
          <w:szCs w:val="21"/>
          <w:lang w:val="en-GB"/>
        </w:rPr>
        <w:t xml:space="preserve">, finer granularity </w:t>
      </w:r>
      <w:r w:rsidR="003C701F" w:rsidRPr="00242A77">
        <w:rPr>
          <w:rFonts w:ascii="Times New Roman" w:eastAsiaTheme="minorEastAsia" w:hAnsi="Times New Roman" w:cstheme="minorBidi"/>
          <w:sz w:val="20"/>
          <w:szCs w:val="21"/>
          <w:lang w:val="en-GB"/>
        </w:rPr>
        <w:t>time domain</w:t>
      </w:r>
      <w:r w:rsidR="00E02B0E">
        <w:rPr>
          <w:rFonts w:ascii="Times New Roman" w:eastAsiaTheme="minorEastAsia" w:hAnsi="Times New Roman" w:cstheme="minorBidi"/>
          <w:sz w:val="20"/>
          <w:szCs w:val="21"/>
          <w:lang w:val="en-GB"/>
        </w:rPr>
        <w:t xml:space="preserve"> network energy saving</w:t>
      </w:r>
      <w:r w:rsidR="003C701F" w:rsidRPr="00242A77">
        <w:rPr>
          <w:rFonts w:ascii="Times New Roman" w:eastAsiaTheme="minorEastAsia" w:hAnsi="Times New Roman" w:cstheme="minorBidi"/>
          <w:sz w:val="20"/>
          <w:szCs w:val="21"/>
          <w:lang w:val="en-GB"/>
        </w:rPr>
        <w:t xml:space="preserve"> is</w:t>
      </w:r>
      <w:r w:rsidR="004B0DBD">
        <w:rPr>
          <w:rFonts w:ascii="Times New Roman" w:eastAsiaTheme="minorEastAsia" w:hAnsi="Times New Roman" w:cstheme="minorBidi"/>
          <w:sz w:val="20"/>
          <w:szCs w:val="21"/>
          <w:lang w:val="en-GB"/>
        </w:rPr>
        <w:t xml:space="preserve"> also</w:t>
      </w:r>
      <w:r w:rsidR="003C701F" w:rsidRPr="00242A77">
        <w:rPr>
          <w:rFonts w:ascii="Times New Roman" w:eastAsiaTheme="minorEastAsia" w:hAnsi="Times New Roman" w:cstheme="minorBidi"/>
          <w:sz w:val="20"/>
          <w:szCs w:val="21"/>
          <w:lang w:val="en-GB"/>
        </w:rPr>
        <w:t xml:space="preserve"> pursued</w:t>
      </w:r>
      <w:r w:rsidR="006B7AE6">
        <w:rPr>
          <w:rFonts w:ascii="Times New Roman" w:eastAsiaTheme="minorEastAsia" w:hAnsi="Times New Roman" w:cstheme="minorBidi"/>
          <w:sz w:val="20"/>
          <w:szCs w:val="21"/>
          <w:lang w:val="en-GB"/>
        </w:rPr>
        <w:t xml:space="preserve">. </w:t>
      </w:r>
      <w:r w:rsidR="00E13C67">
        <w:rPr>
          <w:rFonts w:ascii="Times New Roman" w:eastAsiaTheme="minorEastAsia" w:hAnsi="Times New Roman" w:cstheme="minorBidi"/>
          <w:sz w:val="20"/>
          <w:szCs w:val="21"/>
          <w:lang w:val="en-GB"/>
        </w:rPr>
        <w:t>So</w:t>
      </w:r>
      <w:r w:rsidR="00BE7C47">
        <w:rPr>
          <w:rFonts w:ascii="Times New Roman" w:eastAsiaTheme="minorEastAsia" w:hAnsi="Times New Roman" w:cstheme="minorBidi"/>
          <w:sz w:val="20"/>
          <w:szCs w:val="21"/>
          <w:lang w:val="en-GB"/>
        </w:rPr>
        <w:t>,</w:t>
      </w:r>
      <w:r w:rsidR="003C701F" w:rsidRPr="00242A77">
        <w:rPr>
          <w:rFonts w:ascii="Times New Roman" w:eastAsiaTheme="minorEastAsia" w:hAnsi="Times New Roman" w:cstheme="minorBidi"/>
          <w:sz w:val="20"/>
          <w:szCs w:val="21"/>
          <w:lang w:val="en-GB"/>
        </w:rPr>
        <w:t xml:space="preserve"> </w:t>
      </w:r>
      <w:r w:rsidR="00752A9A">
        <w:rPr>
          <w:rFonts w:ascii="Times New Roman" w:eastAsiaTheme="minorEastAsia" w:hAnsi="Times New Roman" w:cstheme="minorBidi"/>
          <w:sz w:val="20"/>
          <w:szCs w:val="21"/>
          <w:lang w:val="en-GB"/>
        </w:rPr>
        <w:t xml:space="preserve">using </w:t>
      </w:r>
      <w:r w:rsidR="003C701F" w:rsidRPr="00242A77">
        <w:rPr>
          <w:rFonts w:ascii="Times New Roman" w:eastAsiaTheme="minorEastAsia" w:hAnsi="Times New Roman" w:cstheme="minorBidi"/>
          <w:sz w:val="20"/>
          <w:szCs w:val="21"/>
          <w:lang w:val="en-GB"/>
        </w:rPr>
        <w:t>per UE BWP</w:t>
      </w:r>
      <w:r w:rsidR="00232840" w:rsidRPr="00242A77">
        <w:rPr>
          <w:rFonts w:ascii="Times New Roman" w:eastAsiaTheme="minorEastAsia" w:hAnsi="Times New Roman" w:cstheme="minorBidi"/>
          <w:sz w:val="20"/>
          <w:szCs w:val="21"/>
          <w:lang w:val="en-GB"/>
        </w:rPr>
        <w:t xml:space="preserve"> switching command</w:t>
      </w:r>
      <w:r w:rsidR="00382E61" w:rsidRPr="00242A77">
        <w:rPr>
          <w:rFonts w:ascii="Times New Roman" w:eastAsiaTheme="minorEastAsia" w:hAnsi="Times New Roman" w:cstheme="minorBidi"/>
          <w:sz w:val="20"/>
          <w:szCs w:val="21"/>
          <w:lang w:val="en-GB"/>
        </w:rPr>
        <w:t xml:space="preserve"> would increase the</w:t>
      </w:r>
      <w:r w:rsidR="00312FA2" w:rsidRPr="00242A77">
        <w:rPr>
          <w:rFonts w:ascii="Times New Roman" w:eastAsiaTheme="minorEastAsia" w:hAnsi="Times New Roman" w:cstheme="minorBidi"/>
          <w:sz w:val="20"/>
          <w:szCs w:val="21"/>
          <w:lang w:val="en-GB"/>
        </w:rPr>
        <w:t xml:space="preserve"> delay for going to sleep mode</w:t>
      </w:r>
      <w:r w:rsidR="00D26F4A">
        <w:rPr>
          <w:rFonts w:ascii="Times New Roman" w:eastAsiaTheme="minorEastAsia" w:hAnsi="Times New Roman" w:cstheme="minorBidi"/>
          <w:sz w:val="20"/>
          <w:szCs w:val="21"/>
          <w:lang w:val="en-GB"/>
        </w:rPr>
        <w:t xml:space="preserve">, which </w:t>
      </w:r>
      <w:r w:rsidR="001445BF">
        <w:rPr>
          <w:rFonts w:ascii="Times New Roman" w:eastAsiaTheme="minorEastAsia" w:hAnsi="Times New Roman" w:cstheme="minorBidi"/>
          <w:sz w:val="20"/>
          <w:szCs w:val="21"/>
          <w:lang w:val="en-GB"/>
        </w:rPr>
        <w:t>cannot achieve this goal</w:t>
      </w:r>
      <w:r w:rsidR="00312FA2" w:rsidRPr="00242A77">
        <w:rPr>
          <w:rFonts w:ascii="Times New Roman" w:eastAsiaTheme="minorEastAsia" w:hAnsi="Times New Roman" w:cstheme="minorBidi"/>
          <w:sz w:val="20"/>
          <w:szCs w:val="21"/>
          <w:lang w:val="en-GB"/>
        </w:rPr>
        <w:t>.</w:t>
      </w:r>
    </w:p>
    <w:p w14:paraId="4449872D" w14:textId="601D8B8F" w:rsidR="00312FA2" w:rsidRDefault="00312FA2" w:rsidP="00312FA2">
      <w:r w:rsidRPr="00C32E0E">
        <w:rPr>
          <w:lang w:val="en-GB"/>
        </w:rPr>
        <w:t>Therefore,</w:t>
      </w:r>
      <w:r>
        <w:t xml:space="preserve"> we prefer </w:t>
      </w:r>
      <w:r w:rsidRPr="00145CE8">
        <w:t xml:space="preserve">UE group common </w:t>
      </w:r>
      <w:r>
        <w:t>BWP switching</w:t>
      </w:r>
      <w:r w:rsidR="00400AA6">
        <w:t>, as it is more efficient</w:t>
      </w:r>
      <w:r>
        <w:t xml:space="preserve">. </w:t>
      </w:r>
      <w:r w:rsidR="006102BD">
        <w:t>T</w:t>
      </w:r>
      <w:r>
        <w:t xml:space="preserve">here are </w:t>
      </w:r>
      <w:r w:rsidR="00847978">
        <w:t xml:space="preserve">some </w:t>
      </w:r>
      <w:r>
        <w:t xml:space="preserve">potential solutions: </w:t>
      </w:r>
    </w:p>
    <w:p w14:paraId="53D3B23F" w14:textId="687FCB5B" w:rsidR="00312FA2" w:rsidRPr="00AE34F1" w:rsidRDefault="00312FA2" w:rsidP="00312FA2">
      <w:pPr>
        <w:pStyle w:val="aa"/>
        <w:numPr>
          <w:ilvl w:val="0"/>
          <w:numId w:val="34"/>
        </w:numPr>
        <w:spacing w:before="180" w:after="180"/>
        <w:ind w:left="618" w:firstLineChars="0"/>
        <w:rPr>
          <w:rFonts w:eastAsia="Times New Roman"/>
          <w:lang w:eastAsia="en-US"/>
        </w:rPr>
      </w:pPr>
      <w:r w:rsidRPr="00490C2E">
        <w:rPr>
          <w:rFonts w:ascii="Times New Roman" w:eastAsia="Times New Roman" w:hAnsi="Times New Roman"/>
          <w:b/>
          <w:kern w:val="0"/>
          <w:sz w:val="20"/>
          <w:szCs w:val="24"/>
          <w:lang w:eastAsia="en-US"/>
        </w:rPr>
        <w:lastRenderedPageBreak/>
        <w:t xml:space="preserve">Solution 1: </w:t>
      </w:r>
      <w:r w:rsidRPr="00490C2E">
        <w:rPr>
          <w:rFonts w:ascii="Times New Roman" w:eastAsia="Times New Roman" w:hAnsi="Times New Roman"/>
          <w:kern w:val="0"/>
          <w:sz w:val="20"/>
          <w:szCs w:val="24"/>
          <w:lang w:eastAsia="en-US"/>
        </w:rPr>
        <w:t xml:space="preserve">the network configures one of UE specific BWPs of all UEs in the cell to be the same, and </w:t>
      </w:r>
      <w:r w:rsidRPr="005E6E83">
        <w:rPr>
          <w:rFonts w:ascii="Times New Roman" w:eastAsia="Times New Roman" w:hAnsi="Times New Roman"/>
          <w:kern w:val="0"/>
          <w:sz w:val="20"/>
          <w:szCs w:val="24"/>
          <w:lang w:eastAsia="en-US"/>
        </w:rPr>
        <w:t>switch</w:t>
      </w:r>
      <w:r>
        <w:rPr>
          <w:rFonts w:ascii="Times New Roman" w:eastAsia="Times New Roman" w:hAnsi="Times New Roman"/>
          <w:kern w:val="0"/>
          <w:sz w:val="20"/>
          <w:szCs w:val="24"/>
          <w:lang w:eastAsia="en-US"/>
        </w:rPr>
        <w:t>es</w:t>
      </w:r>
      <w:r w:rsidRPr="005E6E83">
        <w:rPr>
          <w:rFonts w:ascii="Times New Roman" w:eastAsia="Times New Roman" w:hAnsi="Times New Roman"/>
          <w:kern w:val="0"/>
          <w:sz w:val="20"/>
          <w:szCs w:val="24"/>
          <w:lang w:eastAsia="en-US"/>
        </w:rPr>
        <w:t xml:space="preserve"> all UEs to this BWP</w:t>
      </w:r>
      <w:r>
        <w:rPr>
          <w:rFonts w:ascii="Times New Roman" w:eastAsia="Times New Roman" w:hAnsi="Times New Roman"/>
          <w:kern w:val="0"/>
          <w:sz w:val="20"/>
          <w:szCs w:val="24"/>
          <w:lang w:eastAsia="en-US"/>
        </w:rPr>
        <w:t xml:space="preserve"> via</w:t>
      </w:r>
      <w:r w:rsidRPr="00490C2E">
        <w:rPr>
          <w:rFonts w:ascii="Times New Roman" w:eastAsia="Times New Roman" w:hAnsi="Times New Roman"/>
          <w:kern w:val="0"/>
          <w:sz w:val="20"/>
          <w:szCs w:val="24"/>
          <w:lang w:eastAsia="en-US"/>
        </w:rPr>
        <w:t xml:space="preserve"> group common BWP switching command;</w:t>
      </w:r>
    </w:p>
    <w:p w14:paraId="666333DA" w14:textId="1B14FB9D" w:rsidR="00AE34F1" w:rsidRPr="00490C2E" w:rsidRDefault="00E02DC5" w:rsidP="00312FA2">
      <w:pPr>
        <w:pStyle w:val="aa"/>
        <w:numPr>
          <w:ilvl w:val="0"/>
          <w:numId w:val="34"/>
        </w:numPr>
        <w:spacing w:before="180" w:after="180"/>
        <w:ind w:left="618" w:firstLineChars="0"/>
        <w:rPr>
          <w:rFonts w:eastAsia="Times New Roman"/>
          <w:lang w:eastAsia="en-US"/>
        </w:rPr>
      </w:pPr>
      <w:r w:rsidRPr="00490C2E">
        <w:rPr>
          <w:rFonts w:ascii="Times New Roman" w:eastAsia="Times New Roman" w:hAnsi="Times New Roman"/>
          <w:b/>
          <w:kern w:val="0"/>
          <w:sz w:val="20"/>
          <w:szCs w:val="24"/>
          <w:lang w:eastAsia="en-US"/>
        </w:rPr>
        <w:t xml:space="preserve">Solution </w:t>
      </w:r>
      <w:r>
        <w:rPr>
          <w:rFonts w:ascii="Times New Roman" w:eastAsia="Times New Roman" w:hAnsi="Times New Roman"/>
          <w:b/>
          <w:kern w:val="0"/>
          <w:sz w:val="20"/>
          <w:szCs w:val="24"/>
          <w:lang w:eastAsia="en-US"/>
        </w:rPr>
        <w:t>2</w:t>
      </w:r>
      <w:r w:rsidRPr="00490C2E">
        <w:rPr>
          <w:rFonts w:ascii="Times New Roman" w:eastAsia="Times New Roman" w:hAnsi="Times New Roman"/>
          <w:b/>
          <w:kern w:val="0"/>
          <w:sz w:val="20"/>
          <w:szCs w:val="24"/>
          <w:lang w:eastAsia="en-US"/>
        </w:rPr>
        <w:t>:</w:t>
      </w:r>
      <w:r>
        <w:rPr>
          <w:rFonts w:ascii="Times New Roman" w:eastAsia="Times New Roman" w:hAnsi="Times New Roman"/>
          <w:b/>
          <w:kern w:val="0"/>
          <w:sz w:val="20"/>
          <w:szCs w:val="24"/>
          <w:lang w:eastAsia="en-US"/>
        </w:rPr>
        <w:t xml:space="preserve"> </w:t>
      </w:r>
      <w:r w:rsidR="00AE34F1" w:rsidRPr="00490C2E">
        <w:rPr>
          <w:rFonts w:ascii="Times New Roman" w:eastAsia="Times New Roman" w:hAnsi="Times New Roman"/>
          <w:kern w:val="0"/>
          <w:sz w:val="20"/>
          <w:szCs w:val="24"/>
          <w:lang w:eastAsia="en-US"/>
        </w:rPr>
        <w:t xml:space="preserve">the network </w:t>
      </w:r>
      <w:r w:rsidR="00AE34F1" w:rsidRPr="005E6E83">
        <w:rPr>
          <w:rFonts w:ascii="Times New Roman" w:eastAsia="Times New Roman" w:hAnsi="Times New Roman"/>
          <w:kern w:val="0"/>
          <w:sz w:val="20"/>
          <w:szCs w:val="24"/>
          <w:lang w:eastAsia="en-US"/>
        </w:rPr>
        <w:t>switch</w:t>
      </w:r>
      <w:r w:rsidR="00AE34F1">
        <w:rPr>
          <w:rFonts w:ascii="Times New Roman" w:eastAsia="Times New Roman" w:hAnsi="Times New Roman"/>
          <w:kern w:val="0"/>
          <w:sz w:val="20"/>
          <w:szCs w:val="24"/>
          <w:lang w:eastAsia="en-US"/>
        </w:rPr>
        <w:t>es</w:t>
      </w:r>
      <w:r w:rsidR="00AE34F1" w:rsidRPr="005E6E83">
        <w:rPr>
          <w:rFonts w:ascii="Times New Roman" w:eastAsia="Times New Roman" w:hAnsi="Times New Roman"/>
          <w:kern w:val="0"/>
          <w:sz w:val="20"/>
          <w:szCs w:val="24"/>
          <w:lang w:eastAsia="en-US"/>
        </w:rPr>
        <w:t xml:space="preserve"> all UEs to </w:t>
      </w:r>
      <w:r w:rsidR="00673B6E">
        <w:rPr>
          <w:rFonts w:ascii="Times New Roman" w:eastAsia="Times New Roman" w:hAnsi="Times New Roman"/>
          <w:kern w:val="0"/>
          <w:sz w:val="20"/>
          <w:szCs w:val="24"/>
          <w:lang w:eastAsia="en-US"/>
        </w:rPr>
        <w:t xml:space="preserve">initial </w:t>
      </w:r>
      <w:r w:rsidR="00AE34F1" w:rsidRPr="005E6E83">
        <w:rPr>
          <w:rFonts w:ascii="Times New Roman" w:eastAsia="Times New Roman" w:hAnsi="Times New Roman"/>
          <w:kern w:val="0"/>
          <w:sz w:val="20"/>
          <w:szCs w:val="24"/>
          <w:lang w:eastAsia="en-US"/>
        </w:rPr>
        <w:t>BWP</w:t>
      </w:r>
      <w:r w:rsidR="00AE34F1">
        <w:rPr>
          <w:rFonts w:ascii="Times New Roman" w:eastAsia="Times New Roman" w:hAnsi="Times New Roman"/>
          <w:kern w:val="0"/>
          <w:sz w:val="20"/>
          <w:szCs w:val="24"/>
          <w:lang w:eastAsia="en-US"/>
        </w:rPr>
        <w:t xml:space="preserve"> via</w:t>
      </w:r>
      <w:r w:rsidR="00AE34F1" w:rsidRPr="005E6E83">
        <w:rPr>
          <w:rFonts w:ascii="Times New Roman" w:eastAsia="Times New Roman" w:hAnsi="Times New Roman"/>
          <w:kern w:val="0"/>
          <w:sz w:val="20"/>
          <w:szCs w:val="24"/>
          <w:lang w:eastAsia="en-US"/>
        </w:rPr>
        <w:t xml:space="preserve"> group common BWP switching command</w:t>
      </w:r>
      <w:r w:rsidR="009F0A2A">
        <w:rPr>
          <w:rFonts w:ascii="Times New Roman" w:eastAsia="Times New Roman" w:hAnsi="Times New Roman"/>
          <w:kern w:val="0"/>
          <w:sz w:val="20"/>
          <w:szCs w:val="24"/>
          <w:lang w:eastAsia="en-US"/>
        </w:rPr>
        <w:t>;</w:t>
      </w:r>
    </w:p>
    <w:p w14:paraId="7B6A001D" w14:textId="4167FECE" w:rsidR="00312FA2" w:rsidRPr="00490C2E" w:rsidRDefault="00312FA2" w:rsidP="00312FA2">
      <w:pPr>
        <w:pStyle w:val="aa"/>
        <w:numPr>
          <w:ilvl w:val="0"/>
          <w:numId w:val="34"/>
        </w:numPr>
        <w:spacing w:before="180" w:after="180"/>
        <w:ind w:left="618" w:firstLineChars="0"/>
        <w:rPr>
          <w:rFonts w:eastAsia="Times New Roman"/>
          <w:lang w:eastAsia="en-US"/>
        </w:rPr>
      </w:pPr>
      <w:r w:rsidRPr="00490C2E">
        <w:rPr>
          <w:rFonts w:ascii="Times New Roman" w:eastAsia="Times New Roman" w:hAnsi="Times New Roman"/>
          <w:b/>
          <w:kern w:val="0"/>
          <w:sz w:val="20"/>
          <w:szCs w:val="24"/>
          <w:lang w:eastAsia="en-US"/>
        </w:rPr>
        <w:t xml:space="preserve">Solution </w:t>
      </w:r>
      <w:r w:rsidR="00D76B40">
        <w:rPr>
          <w:rFonts w:ascii="Times New Roman" w:eastAsia="Times New Roman" w:hAnsi="Times New Roman"/>
          <w:b/>
          <w:kern w:val="0"/>
          <w:sz w:val="20"/>
          <w:szCs w:val="24"/>
          <w:lang w:eastAsia="en-US"/>
        </w:rPr>
        <w:t>3</w:t>
      </w:r>
      <w:r w:rsidRPr="00490C2E">
        <w:rPr>
          <w:rFonts w:ascii="Times New Roman" w:eastAsia="Times New Roman" w:hAnsi="Times New Roman"/>
          <w:b/>
          <w:kern w:val="0"/>
          <w:sz w:val="20"/>
          <w:szCs w:val="24"/>
          <w:lang w:eastAsia="en-US"/>
        </w:rPr>
        <w:t xml:space="preserve">: </w:t>
      </w:r>
      <w:r w:rsidRPr="00490C2E">
        <w:rPr>
          <w:rFonts w:ascii="Times New Roman" w:eastAsia="Times New Roman" w:hAnsi="Times New Roman"/>
          <w:kern w:val="0"/>
          <w:sz w:val="20"/>
          <w:szCs w:val="24"/>
          <w:lang w:eastAsia="en-US"/>
        </w:rPr>
        <w:t xml:space="preserve">the network configures a network energy saving </w:t>
      </w:r>
      <w:r>
        <w:rPr>
          <w:rFonts w:ascii="Times New Roman" w:eastAsia="Times New Roman" w:hAnsi="Times New Roman"/>
          <w:kern w:val="0"/>
          <w:sz w:val="20"/>
          <w:szCs w:val="24"/>
          <w:lang w:eastAsia="en-US"/>
        </w:rPr>
        <w:t xml:space="preserve">(NES) </w:t>
      </w:r>
      <w:r w:rsidRPr="00490C2E">
        <w:rPr>
          <w:rFonts w:ascii="Times New Roman" w:eastAsia="Times New Roman" w:hAnsi="Times New Roman"/>
          <w:kern w:val="0"/>
          <w:sz w:val="20"/>
          <w:szCs w:val="24"/>
          <w:lang w:eastAsia="en-US"/>
        </w:rPr>
        <w:t xml:space="preserve">specific BWP, and </w:t>
      </w:r>
      <w:r w:rsidRPr="005E6E83">
        <w:rPr>
          <w:rFonts w:ascii="Times New Roman" w:eastAsia="Times New Roman" w:hAnsi="Times New Roman"/>
          <w:kern w:val="0"/>
          <w:sz w:val="20"/>
          <w:szCs w:val="24"/>
          <w:lang w:eastAsia="en-US"/>
        </w:rPr>
        <w:t>switch</w:t>
      </w:r>
      <w:r>
        <w:rPr>
          <w:rFonts w:ascii="Times New Roman" w:eastAsia="Times New Roman" w:hAnsi="Times New Roman"/>
          <w:kern w:val="0"/>
          <w:sz w:val="20"/>
          <w:szCs w:val="24"/>
          <w:lang w:eastAsia="en-US"/>
        </w:rPr>
        <w:t>es</w:t>
      </w:r>
      <w:r w:rsidRPr="005E6E83">
        <w:rPr>
          <w:rFonts w:ascii="Times New Roman" w:eastAsia="Times New Roman" w:hAnsi="Times New Roman"/>
          <w:kern w:val="0"/>
          <w:sz w:val="20"/>
          <w:szCs w:val="24"/>
          <w:lang w:eastAsia="en-US"/>
        </w:rPr>
        <w:t xml:space="preserve"> all UEs to this </w:t>
      </w:r>
      <w:r>
        <w:rPr>
          <w:rFonts w:ascii="Times New Roman" w:eastAsia="Times New Roman" w:hAnsi="Times New Roman"/>
          <w:kern w:val="0"/>
          <w:sz w:val="20"/>
          <w:szCs w:val="24"/>
          <w:lang w:eastAsia="en-US"/>
        </w:rPr>
        <w:t xml:space="preserve">NES </w:t>
      </w:r>
      <w:r w:rsidRPr="005E6E83">
        <w:rPr>
          <w:rFonts w:ascii="Times New Roman" w:eastAsia="Times New Roman" w:hAnsi="Times New Roman"/>
          <w:kern w:val="0"/>
          <w:sz w:val="20"/>
          <w:szCs w:val="24"/>
          <w:lang w:eastAsia="en-US"/>
        </w:rPr>
        <w:t>BWP</w:t>
      </w:r>
      <w:r>
        <w:rPr>
          <w:rFonts w:ascii="Times New Roman" w:eastAsia="Times New Roman" w:hAnsi="Times New Roman"/>
          <w:kern w:val="0"/>
          <w:sz w:val="20"/>
          <w:szCs w:val="24"/>
          <w:lang w:eastAsia="en-US"/>
        </w:rPr>
        <w:t xml:space="preserve"> via</w:t>
      </w:r>
      <w:r w:rsidRPr="005E6E83">
        <w:rPr>
          <w:rFonts w:ascii="Times New Roman" w:eastAsia="Times New Roman" w:hAnsi="Times New Roman"/>
          <w:kern w:val="0"/>
          <w:sz w:val="20"/>
          <w:szCs w:val="24"/>
          <w:lang w:eastAsia="en-US"/>
        </w:rPr>
        <w:t xml:space="preserve"> group common BWP switching command</w:t>
      </w:r>
      <w:r w:rsidRPr="00490C2E">
        <w:rPr>
          <w:rFonts w:ascii="Times New Roman" w:eastAsia="Times New Roman" w:hAnsi="Times New Roman"/>
          <w:kern w:val="0"/>
          <w:sz w:val="20"/>
          <w:szCs w:val="24"/>
          <w:lang w:eastAsia="en-US"/>
        </w:rPr>
        <w:t xml:space="preserve">. </w:t>
      </w:r>
    </w:p>
    <w:p w14:paraId="563B9409" w14:textId="51FA1D6B" w:rsidR="00251174" w:rsidRDefault="00251174" w:rsidP="00312FA2">
      <w:pPr>
        <w:rPr>
          <w:lang w:val="en-GB"/>
        </w:rPr>
      </w:pPr>
      <w:r>
        <w:rPr>
          <w:lang w:val="en-GB"/>
        </w:rPr>
        <w:t xml:space="preserve">For </w:t>
      </w:r>
      <w:r w:rsidR="004933A8">
        <w:rPr>
          <w:lang w:val="en-GB"/>
        </w:rPr>
        <w:t>S</w:t>
      </w:r>
      <w:r>
        <w:rPr>
          <w:lang w:val="en-GB"/>
        </w:rPr>
        <w:t>olution 1,</w:t>
      </w:r>
      <w:r w:rsidR="0017511E">
        <w:rPr>
          <w:lang w:val="en-GB"/>
        </w:rPr>
        <w:t xml:space="preserve"> the </w:t>
      </w:r>
      <w:r w:rsidR="009D10DD" w:rsidRPr="00490C2E">
        <w:rPr>
          <w:rFonts w:eastAsia="Times New Roman"/>
          <w:kern w:val="0"/>
          <w:szCs w:val="24"/>
          <w:lang w:eastAsia="en-US"/>
        </w:rPr>
        <w:t xml:space="preserve">network </w:t>
      </w:r>
      <w:r w:rsidR="00F208AA">
        <w:rPr>
          <w:rFonts w:eastAsia="Times New Roman"/>
          <w:kern w:val="0"/>
          <w:szCs w:val="24"/>
          <w:lang w:eastAsia="en-US"/>
        </w:rPr>
        <w:t xml:space="preserve">can </w:t>
      </w:r>
      <w:r w:rsidR="009D10DD" w:rsidRPr="00490C2E">
        <w:rPr>
          <w:rFonts w:eastAsia="Times New Roman"/>
          <w:kern w:val="0"/>
          <w:szCs w:val="24"/>
          <w:lang w:eastAsia="en-US"/>
        </w:rPr>
        <w:t xml:space="preserve">configure </w:t>
      </w:r>
      <w:r w:rsidR="004E7593">
        <w:rPr>
          <w:rFonts w:eastAsia="Times New Roman"/>
          <w:kern w:val="0"/>
          <w:szCs w:val="24"/>
          <w:lang w:eastAsia="en-US"/>
        </w:rPr>
        <w:t xml:space="preserve">the default </w:t>
      </w:r>
      <w:r w:rsidR="009D10DD" w:rsidRPr="00490C2E">
        <w:rPr>
          <w:rFonts w:eastAsia="Times New Roman"/>
          <w:kern w:val="0"/>
          <w:szCs w:val="24"/>
          <w:lang w:eastAsia="en-US"/>
        </w:rPr>
        <w:t>BWP of all UEs to be the same</w:t>
      </w:r>
      <w:r w:rsidR="00EE7FEA">
        <w:rPr>
          <w:rFonts w:eastAsia="Times New Roman"/>
          <w:kern w:val="0"/>
          <w:szCs w:val="24"/>
          <w:lang w:eastAsia="en-US"/>
        </w:rPr>
        <w:t xml:space="preserve">, and let all the UEs switch to the default BWP when the BWP inactivity timer expires. </w:t>
      </w:r>
      <w:r w:rsidR="00427B03">
        <w:rPr>
          <w:rFonts w:eastAsia="Times New Roman"/>
          <w:kern w:val="0"/>
          <w:szCs w:val="24"/>
          <w:lang w:eastAsia="en-US"/>
        </w:rPr>
        <w:t>However, the default BWP currently is also used for solving the BWP mismatch issue</w:t>
      </w:r>
      <w:r w:rsidR="00C45690">
        <w:rPr>
          <w:rFonts w:eastAsia="Times New Roman"/>
          <w:kern w:val="0"/>
          <w:szCs w:val="24"/>
          <w:lang w:eastAsia="en-US"/>
        </w:rPr>
        <w:t xml:space="preserve"> between network and the UE</w:t>
      </w:r>
      <w:r w:rsidR="00427B03">
        <w:rPr>
          <w:rFonts w:eastAsia="Times New Roman"/>
          <w:kern w:val="0"/>
          <w:szCs w:val="24"/>
          <w:lang w:eastAsia="en-US"/>
        </w:rPr>
        <w:t xml:space="preserve">, so </w:t>
      </w:r>
      <w:r w:rsidR="000A65BF">
        <w:rPr>
          <w:rFonts w:eastAsia="Times New Roman"/>
          <w:kern w:val="0"/>
          <w:szCs w:val="24"/>
          <w:lang w:eastAsia="en-US"/>
        </w:rPr>
        <w:t xml:space="preserve">this BWP should also ensure the </w:t>
      </w:r>
      <w:r w:rsidR="00567486">
        <w:rPr>
          <w:rFonts w:eastAsia="Times New Roman"/>
          <w:kern w:val="0"/>
          <w:szCs w:val="24"/>
          <w:lang w:eastAsia="en-US"/>
        </w:rPr>
        <w:t xml:space="preserve">normal </w:t>
      </w:r>
      <w:r w:rsidR="00C667DD">
        <w:rPr>
          <w:rFonts w:eastAsia="Times New Roman"/>
          <w:kern w:val="0"/>
          <w:szCs w:val="24"/>
          <w:lang w:eastAsia="en-US"/>
        </w:rPr>
        <w:t xml:space="preserve">transmission </w:t>
      </w:r>
      <w:r w:rsidR="00DA5F38">
        <w:rPr>
          <w:rFonts w:eastAsia="Times New Roman"/>
          <w:kern w:val="0"/>
          <w:szCs w:val="24"/>
          <w:lang w:eastAsia="en-US"/>
        </w:rPr>
        <w:t xml:space="preserve">requirement of </w:t>
      </w:r>
      <w:r w:rsidR="00242E1C">
        <w:rPr>
          <w:rFonts w:eastAsia="Times New Roman"/>
          <w:kern w:val="0"/>
          <w:szCs w:val="24"/>
          <w:lang w:eastAsia="en-US"/>
        </w:rPr>
        <w:t xml:space="preserve">the </w:t>
      </w:r>
      <w:r w:rsidR="000A65BF">
        <w:rPr>
          <w:rFonts w:eastAsia="Times New Roman"/>
          <w:kern w:val="0"/>
          <w:szCs w:val="24"/>
          <w:lang w:eastAsia="en-US"/>
        </w:rPr>
        <w:t>UE</w:t>
      </w:r>
      <w:r w:rsidR="00576E05">
        <w:rPr>
          <w:rFonts w:eastAsia="Times New Roman"/>
          <w:kern w:val="0"/>
          <w:szCs w:val="24"/>
          <w:lang w:eastAsia="en-US"/>
        </w:rPr>
        <w:t>, and that’s why the default BWP is</w:t>
      </w:r>
      <w:r w:rsidR="00FA59B6">
        <w:rPr>
          <w:rFonts w:eastAsia="Times New Roman"/>
          <w:kern w:val="0"/>
          <w:szCs w:val="24"/>
          <w:lang w:eastAsia="en-US"/>
        </w:rPr>
        <w:t xml:space="preserve"> defined as</w:t>
      </w:r>
      <w:r w:rsidR="00576E05">
        <w:rPr>
          <w:rFonts w:eastAsia="Times New Roman"/>
          <w:kern w:val="0"/>
          <w:szCs w:val="24"/>
          <w:lang w:eastAsia="en-US"/>
        </w:rPr>
        <w:t xml:space="preserve"> UE specific BWP.</w:t>
      </w:r>
      <w:r w:rsidR="000A65BF">
        <w:rPr>
          <w:rFonts w:eastAsia="Times New Roman"/>
          <w:kern w:val="0"/>
          <w:szCs w:val="24"/>
          <w:lang w:eastAsia="en-US"/>
        </w:rPr>
        <w:t xml:space="preserve"> </w:t>
      </w:r>
      <w:r w:rsidR="0010634B">
        <w:rPr>
          <w:rFonts w:eastAsia="Times New Roman"/>
          <w:kern w:val="0"/>
          <w:szCs w:val="24"/>
          <w:lang w:eastAsia="en-US"/>
        </w:rPr>
        <w:t>So, it is doubtful that using one BWP to co</w:t>
      </w:r>
      <w:bookmarkStart w:id="10" w:name="_GoBack"/>
      <w:bookmarkEnd w:id="10"/>
      <w:r w:rsidR="0010634B">
        <w:rPr>
          <w:rFonts w:eastAsia="Times New Roman"/>
          <w:kern w:val="0"/>
          <w:szCs w:val="24"/>
          <w:lang w:eastAsia="en-US"/>
        </w:rPr>
        <w:t xml:space="preserve">ver both network energy saving </w:t>
      </w:r>
      <w:r w:rsidR="00D5539C">
        <w:rPr>
          <w:rFonts w:eastAsia="Times New Roman"/>
          <w:kern w:val="0"/>
          <w:szCs w:val="24"/>
          <w:lang w:eastAsia="en-US"/>
        </w:rPr>
        <w:t xml:space="preserve">requirement </w:t>
      </w:r>
      <w:r w:rsidR="0010634B">
        <w:rPr>
          <w:rFonts w:eastAsia="Times New Roman"/>
          <w:kern w:val="0"/>
          <w:szCs w:val="24"/>
          <w:lang w:eastAsia="en-US"/>
        </w:rPr>
        <w:t xml:space="preserve">and UE normal transmission </w:t>
      </w:r>
      <w:r w:rsidR="00EE08CF">
        <w:rPr>
          <w:rFonts w:eastAsia="Times New Roman"/>
          <w:kern w:val="0"/>
          <w:szCs w:val="24"/>
          <w:lang w:eastAsia="en-US"/>
        </w:rPr>
        <w:t>requirement</w:t>
      </w:r>
      <w:r w:rsidR="0010634B">
        <w:rPr>
          <w:rFonts w:eastAsia="Times New Roman"/>
          <w:kern w:val="0"/>
          <w:szCs w:val="24"/>
          <w:lang w:eastAsia="en-US"/>
        </w:rPr>
        <w:t xml:space="preserve">. </w:t>
      </w:r>
      <w:r w:rsidR="006A6F2C">
        <w:rPr>
          <w:rFonts w:eastAsia="Times New Roman"/>
          <w:kern w:val="0"/>
          <w:szCs w:val="24"/>
          <w:lang w:eastAsia="en-US"/>
        </w:rPr>
        <w:t xml:space="preserve">Besides, this solution </w:t>
      </w:r>
      <w:r w:rsidR="00B27503" w:rsidRPr="00884DB4">
        <w:t>occupies one of</w:t>
      </w:r>
      <w:r w:rsidR="00B27503">
        <w:t xml:space="preserve"> UE specific </w:t>
      </w:r>
      <w:r w:rsidR="00B27503">
        <w:rPr>
          <w:lang w:val="en-GB"/>
        </w:rPr>
        <w:t>BWP, which will sacrifice UE’s BWP</w:t>
      </w:r>
      <w:r w:rsidR="00B27503" w:rsidRPr="00884DB4">
        <w:rPr>
          <w:lang w:val="en-GB"/>
        </w:rPr>
        <w:t xml:space="preserve"> flexibility</w:t>
      </w:r>
      <w:r w:rsidR="00B27503">
        <w:rPr>
          <w:lang w:val="en-GB"/>
        </w:rPr>
        <w:t>.</w:t>
      </w:r>
    </w:p>
    <w:p w14:paraId="6BD9C2F0" w14:textId="7F5EF6EA" w:rsidR="00312FA2" w:rsidRPr="00312FA2" w:rsidRDefault="00ED6184" w:rsidP="001747E9">
      <w:r>
        <w:rPr>
          <w:lang w:val="en-GB"/>
        </w:rPr>
        <w:t xml:space="preserve">For solution 2 and 3, </w:t>
      </w:r>
      <w:r w:rsidR="00DE6980">
        <w:t>w</w:t>
      </w:r>
      <w:r w:rsidR="00377031">
        <w:t>e think both initial BWP and NES BWP are ok</w:t>
      </w:r>
      <w:r w:rsidR="00312FA2">
        <w:rPr>
          <w:lang w:val="en-GB"/>
        </w:rPr>
        <w:t xml:space="preserve">. </w:t>
      </w:r>
      <w:r w:rsidR="00617037">
        <w:rPr>
          <w:lang w:val="en-GB"/>
        </w:rPr>
        <w:t xml:space="preserve">Comparing to the </w:t>
      </w:r>
      <w:r w:rsidR="00D47706">
        <w:t>initial BWP</w:t>
      </w:r>
      <w:r w:rsidR="003E0757">
        <w:t xml:space="preserve">, </w:t>
      </w:r>
      <w:r w:rsidR="00D93A95">
        <w:t xml:space="preserve">the extra benefit of </w:t>
      </w:r>
      <w:r w:rsidR="00CE67F3">
        <w:t xml:space="preserve">NES BWP </w:t>
      </w:r>
      <w:r w:rsidR="00C107AC">
        <w:t>can give is</w:t>
      </w:r>
      <w:r w:rsidR="006556F8">
        <w:t xml:space="preserve"> </w:t>
      </w:r>
      <w:r w:rsidR="003B44E4">
        <w:t xml:space="preserve">the </w:t>
      </w:r>
      <w:r w:rsidR="00D97617">
        <w:t xml:space="preserve">network </w:t>
      </w:r>
      <w:r w:rsidR="00F70A08">
        <w:t>can</w:t>
      </w:r>
      <w:r w:rsidR="00D97617">
        <w:t xml:space="preserve"> link specific resources in this BWP and perform resources adaptation by triggering BWP switching between NES BWP and normal BWP. </w:t>
      </w:r>
      <w:r w:rsidR="00F31A98">
        <w:t xml:space="preserve">Since the initial BWP is used for initial access, maybe </w:t>
      </w:r>
      <w:r w:rsidR="009267B4">
        <w:t>the initial BWP</w:t>
      </w:r>
      <w:r w:rsidR="009267B4" w:rsidRPr="00145CE8" w:rsidDel="00FE238F">
        <w:t xml:space="preserve"> </w:t>
      </w:r>
      <w:r w:rsidR="00502F10">
        <w:t xml:space="preserve">is difficult </w:t>
      </w:r>
      <w:r w:rsidR="003D5732">
        <w:t xml:space="preserve">to serve </w:t>
      </w:r>
      <w:r w:rsidR="005D6C86">
        <w:t xml:space="preserve">resources adaptation </w:t>
      </w:r>
      <w:r w:rsidR="003D5732">
        <w:t xml:space="preserve">purpose. </w:t>
      </w:r>
    </w:p>
    <w:p w14:paraId="3E094FF4" w14:textId="230ABDE5" w:rsidR="00B74C93" w:rsidRPr="001747E9" w:rsidRDefault="00E51745" w:rsidP="001747E9">
      <w:pPr>
        <w:pStyle w:val="aa"/>
        <w:numPr>
          <w:ilvl w:val="0"/>
          <w:numId w:val="29"/>
        </w:numPr>
        <w:spacing w:after="120"/>
        <w:ind w:left="1701" w:firstLineChars="0" w:hanging="1701"/>
        <w:rPr>
          <w:rFonts w:ascii="Times New Roman" w:hAnsi="Times New Roman"/>
          <w:b/>
          <w:sz w:val="20"/>
          <w:szCs w:val="20"/>
        </w:rPr>
      </w:pPr>
      <w:r>
        <w:rPr>
          <w:rFonts w:ascii="Times New Roman" w:hAnsi="Times New Roman"/>
          <w:b/>
          <w:sz w:val="20"/>
          <w:szCs w:val="20"/>
        </w:rPr>
        <w:t xml:space="preserve">RAN2 </w:t>
      </w:r>
      <w:r>
        <w:rPr>
          <w:rFonts w:ascii="Times New Roman" w:hAnsi="Times New Roman" w:hint="eastAsia"/>
          <w:b/>
          <w:sz w:val="20"/>
          <w:szCs w:val="20"/>
        </w:rPr>
        <w:t>to</w:t>
      </w:r>
      <w:r>
        <w:rPr>
          <w:rFonts w:ascii="Times New Roman" w:hAnsi="Times New Roman"/>
          <w:b/>
          <w:sz w:val="20"/>
          <w:szCs w:val="20"/>
        </w:rPr>
        <w:t xml:space="preserve"> </w:t>
      </w:r>
      <w:r w:rsidR="00DA4F6D" w:rsidRPr="00E81C80">
        <w:rPr>
          <w:rFonts w:ascii="Times New Roman" w:hAnsi="Times New Roman"/>
          <w:b/>
          <w:sz w:val="20"/>
          <w:szCs w:val="20"/>
        </w:rPr>
        <w:t>further study</w:t>
      </w:r>
      <w:r w:rsidR="00B74C93" w:rsidRPr="001747E9">
        <w:rPr>
          <w:rFonts w:ascii="Times New Roman" w:hAnsi="Times New Roman"/>
          <w:b/>
          <w:sz w:val="20"/>
          <w:szCs w:val="20"/>
        </w:rPr>
        <w:t xml:space="preserve"> </w:t>
      </w:r>
      <w:r w:rsidR="00B74C93" w:rsidRPr="001747E9">
        <w:rPr>
          <w:rFonts w:ascii="Times New Roman" w:hAnsi="Times New Roman" w:hint="eastAsia"/>
          <w:b/>
          <w:sz w:val="20"/>
          <w:szCs w:val="20"/>
        </w:rPr>
        <w:t>group</w:t>
      </w:r>
      <w:r w:rsidR="00B74C93" w:rsidRPr="001747E9">
        <w:rPr>
          <w:rFonts w:ascii="Times New Roman" w:hAnsi="Times New Roman"/>
          <w:b/>
          <w:sz w:val="20"/>
          <w:szCs w:val="20"/>
        </w:rPr>
        <w:t xml:space="preserve"> </w:t>
      </w:r>
      <w:r w:rsidR="00B74C93" w:rsidRPr="001747E9">
        <w:rPr>
          <w:rFonts w:ascii="Times New Roman" w:hAnsi="Times New Roman" w:hint="eastAsia"/>
          <w:b/>
          <w:sz w:val="20"/>
          <w:szCs w:val="20"/>
        </w:rPr>
        <w:t>common</w:t>
      </w:r>
      <w:r w:rsidR="00B74C93" w:rsidRPr="001747E9">
        <w:rPr>
          <w:rFonts w:ascii="Times New Roman" w:hAnsi="Times New Roman"/>
          <w:b/>
          <w:sz w:val="20"/>
          <w:szCs w:val="20"/>
        </w:rPr>
        <w:t xml:space="preserve"> BWP s</w:t>
      </w:r>
      <w:r w:rsidR="00B74C93" w:rsidRPr="001747E9">
        <w:rPr>
          <w:rFonts w:ascii="Times New Roman" w:hAnsi="Times New Roman" w:hint="eastAsia"/>
          <w:b/>
          <w:sz w:val="20"/>
          <w:szCs w:val="20"/>
        </w:rPr>
        <w:t>witching</w:t>
      </w:r>
      <w:r w:rsidR="00B74C93" w:rsidRPr="001747E9">
        <w:rPr>
          <w:rFonts w:ascii="Times New Roman" w:hAnsi="Times New Roman"/>
          <w:b/>
          <w:sz w:val="20"/>
          <w:szCs w:val="20"/>
        </w:rPr>
        <w:t xml:space="preserve"> for dynamic network energy saving scenario</w:t>
      </w:r>
      <w:r w:rsidR="00B74C93" w:rsidRPr="001747E9">
        <w:rPr>
          <w:rFonts w:ascii="Times New Roman" w:hAnsi="Times New Roman" w:hint="eastAsia"/>
          <w:b/>
          <w:sz w:val="20"/>
          <w:szCs w:val="20"/>
        </w:rPr>
        <w:t>.</w:t>
      </w:r>
      <w:r w:rsidR="00B74C93" w:rsidRPr="001747E9">
        <w:rPr>
          <w:rFonts w:ascii="Times New Roman" w:hAnsi="Times New Roman"/>
          <w:b/>
          <w:sz w:val="20"/>
          <w:szCs w:val="20"/>
        </w:rPr>
        <w:t xml:space="preserve"> </w:t>
      </w:r>
    </w:p>
    <w:p w14:paraId="39962CDE" w14:textId="400E2186" w:rsidR="00B74C93" w:rsidRPr="001747E9" w:rsidRDefault="00E51745" w:rsidP="001747E9">
      <w:pPr>
        <w:pStyle w:val="aa"/>
        <w:numPr>
          <w:ilvl w:val="0"/>
          <w:numId w:val="29"/>
        </w:numPr>
        <w:spacing w:after="120"/>
        <w:ind w:left="1701" w:firstLineChars="0" w:hanging="1701"/>
        <w:rPr>
          <w:rFonts w:ascii="Times New Roman" w:hAnsi="Times New Roman"/>
          <w:b/>
          <w:sz w:val="20"/>
          <w:szCs w:val="20"/>
        </w:rPr>
      </w:pPr>
      <w:r>
        <w:rPr>
          <w:rFonts w:ascii="Times New Roman" w:hAnsi="Times New Roman"/>
          <w:b/>
          <w:sz w:val="20"/>
          <w:szCs w:val="20"/>
        </w:rPr>
        <w:t xml:space="preserve">RAN2 </w:t>
      </w:r>
      <w:r>
        <w:rPr>
          <w:rFonts w:ascii="Times New Roman" w:hAnsi="Times New Roman" w:hint="eastAsia"/>
          <w:b/>
          <w:sz w:val="20"/>
          <w:szCs w:val="20"/>
        </w:rPr>
        <w:t>to</w:t>
      </w:r>
      <w:r>
        <w:rPr>
          <w:rFonts w:ascii="Times New Roman" w:hAnsi="Times New Roman"/>
          <w:b/>
          <w:sz w:val="20"/>
          <w:szCs w:val="20"/>
        </w:rPr>
        <w:t xml:space="preserve"> </w:t>
      </w:r>
      <w:r w:rsidR="00CF32C6" w:rsidRPr="00E81C80">
        <w:rPr>
          <w:rFonts w:ascii="Times New Roman" w:hAnsi="Times New Roman"/>
          <w:b/>
          <w:sz w:val="20"/>
          <w:szCs w:val="20"/>
        </w:rPr>
        <w:t>further study</w:t>
      </w:r>
      <w:r w:rsidR="009B1ADE">
        <w:rPr>
          <w:rFonts w:ascii="Times New Roman" w:hAnsi="Times New Roman"/>
          <w:b/>
          <w:sz w:val="20"/>
          <w:szCs w:val="20"/>
        </w:rPr>
        <w:t xml:space="preserve"> </w:t>
      </w:r>
      <w:r w:rsidR="00B74C93" w:rsidRPr="001747E9">
        <w:rPr>
          <w:rFonts w:ascii="Times New Roman" w:hAnsi="Times New Roman"/>
          <w:b/>
          <w:sz w:val="20"/>
          <w:szCs w:val="20"/>
        </w:rPr>
        <w:t>NES BWP for dynamic network energy saving scenario</w:t>
      </w:r>
      <w:r w:rsidR="00B74C93" w:rsidRPr="001747E9">
        <w:rPr>
          <w:rFonts w:ascii="Times New Roman" w:hAnsi="Times New Roman" w:hint="eastAsia"/>
          <w:b/>
          <w:sz w:val="20"/>
          <w:szCs w:val="20"/>
        </w:rPr>
        <w:t>.</w:t>
      </w:r>
      <w:r w:rsidR="00B74C93" w:rsidRPr="001747E9">
        <w:rPr>
          <w:rFonts w:ascii="Times New Roman" w:hAnsi="Times New Roman"/>
          <w:b/>
          <w:sz w:val="20"/>
          <w:szCs w:val="20"/>
        </w:rPr>
        <w:t xml:space="preserve"> </w:t>
      </w:r>
    </w:p>
    <w:p w14:paraId="60902700" w14:textId="6C4C99E9" w:rsidR="00A37D55" w:rsidRDefault="00A37D55" w:rsidP="00BC479D">
      <w:pPr>
        <w:pBdr>
          <w:bottom w:val="single" w:sz="12" w:space="1" w:color="auto"/>
        </w:pBdr>
        <w:spacing w:after="120"/>
      </w:pPr>
    </w:p>
    <w:p w14:paraId="347555DC" w14:textId="77777777" w:rsidR="00541641" w:rsidRDefault="00541641" w:rsidP="00541641">
      <w:pPr>
        <w:pStyle w:val="1"/>
      </w:pPr>
      <w:r>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5BFC2930" w14:textId="57833409" w:rsidR="00EB25EC" w:rsidRPr="00EB25EC" w:rsidRDefault="006D6D7F" w:rsidP="00EB25EC">
      <w:pPr>
        <w:pStyle w:val="aa"/>
        <w:numPr>
          <w:ilvl w:val="0"/>
          <w:numId w:val="26"/>
        </w:numPr>
        <w:ind w:left="1701" w:firstLineChars="0" w:hanging="1701"/>
        <w:rPr>
          <w:rFonts w:ascii="Times New Roman" w:hAnsi="Times New Roman"/>
          <w:b/>
          <w:sz w:val="20"/>
          <w:szCs w:val="20"/>
        </w:rPr>
      </w:pPr>
      <w:r w:rsidRPr="00E81C80">
        <w:rPr>
          <w:rFonts w:ascii="Times New Roman" w:hAnsi="Times New Roman"/>
          <w:b/>
          <w:sz w:val="20"/>
          <w:szCs w:val="20"/>
        </w:rPr>
        <w:t>For further study of offloading SSB/SIB1 of a NES cell to anchor cell, focus on intra-band case as a start.</w:t>
      </w:r>
    </w:p>
    <w:p w14:paraId="110DC2A2" w14:textId="2034F4D9" w:rsidR="00EB25EC" w:rsidRDefault="006D6D7F" w:rsidP="00EB25EC">
      <w:pPr>
        <w:pStyle w:val="aa"/>
        <w:numPr>
          <w:ilvl w:val="0"/>
          <w:numId w:val="26"/>
        </w:numPr>
        <w:ind w:left="1701" w:firstLineChars="0" w:hanging="1701"/>
        <w:rPr>
          <w:rFonts w:ascii="Times New Roman" w:hAnsi="Times New Roman"/>
          <w:b/>
          <w:sz w:val="20"/>
          <w:szCs w:val="20"/>
        </w:rPr>
      </w:pPr>
      <w:r w:rsidRPr="00A37D55">
        <w:rPr>
          <w:rFonts w:ascii="Times New Roman" w:hAnsi="Times New Roman"/>
          <w:b/>
          <w:sz w:val="20"/>
          <w:szCs w:val="20"/>
        </w:rPr>
        <w:t>Wait for RAN1/4 input about whether SSB of a cell can be offloaded to another inter-band cell.</w:t>
      </w:r>
    </w:p>
    <w:p w14:paraId="1B5112BF" w14:textId="77777777" w:rsidR="006D6D7F" w:rsidRDefault="006D6D7F" w:rsidP="006D6D7F">
      <w:pPr>
        <w:pStyle w:val="aa"/>
        <w:numPr>
          <w:ilvl w:val="0"/>
          <w:numId w:val="26"/>
        </w:numPr>
        <w:ind w:left="1701" w:firstLineChars="0" w:hanging="1701"/>
        <w:rPr>
          <w:rFonts w:ascii="Times New Roman" w:hAnsi="Times New Roman"/>
          <w:b/>
          <w:sz w:val="20"/>
          <w:szCs w:val="20"/>
        </w:rPr>
      </w:pPr>
      <w:r w:rsidRPr="00A37D55">
        <w:rPr>
          <w:rFonts w:ascii="Times New Roman" w:hAnsi="Times New Roman"/>
          <w:b/>
          <w:sz w:val="20"/>
          <w:szCs w:val="20"/>
        </w:rPr>
        <w:t>RAN2 to discuss definition of anchor cell</w:t>
      </w:r>
      <w:r>
        <w:rPr>
          <w:rFonts w:ascii="Times New Roman" w:hAnsi="Times New Roman"/>
          <w:b/>
          <w:sz w:val="20"/>
          <w:szCs w:val="20"/>
        </w:rPr>
        <w:t>/</w:t>
      </w:r>
      <w:r w:rsidRPr="00A37D55">
        <w:rPr>
          <w:rFonts w:ascii="Times New Roman" w:hAnsi="Times New Roman"/>
          <w:b/>
          <w:sz w:val="20"/>
          <w:szCs w:val="20"/>
        </w:rPr>
        <w:t>non-anchor cell and the relation between them:</w:t>
      </w:r>
    </w:p>
    <w:p w14:paraId="1048D8D2" w14:textId="77777777" w:rsidR="006D6D7F" w:rsidRDefault="006D6D7F" w:rsidP="006D6D7F">
      <w:pPr>
        <w:pStyle w:val="aa"/>
        <w:numPr>
          <w:ilvl w:val="0"/>
          <w:numId w:val="32"/>
        </w:numPr>
        <w:ind w:firstLineChars="0"/>
        <w:rPr>
          <w:rFonts w:ascii="Times New Roman" w:hAnsi="Times New Roman"/>
          <w:b/>
          <w:sz w:val="20"/>
          <w:szCs w:val="20"/>
        </w:rPr>
      </w:pPr>
      <w:r w:rsidRPr="00A37D55">
        <w:rPr>
          <w:rFonts w:ascii="Times New Roman" w:hAnsi="Times New Roman"/>
          <w:b/>
          <w:sz w:val="20"/>
          <w:szCs w:val="20"/>
        </w:rPr>
        <w:t>Whether SSB/SIB1 is only broadcasted in anchor cell?</w:t>
      </w:r>
    </w:p>
    <w:p w14:paraId="55B2A2F1" w14:textId="77777777" w:rsidR="006D6D7F" w:rsidRDefault="006D6D7F" w:rsidP="006D6D7F">
      <w:pPr>
        <w:pStyle w:val="aa"/>
        <w:numPr>
          <w:ilvl w:val="0"/>
          <w:numId w:val="32"/>
        </w:numPr>
        <w:ind w:firstLineChars="0"/>
        <w:rPr>
          <w:rFonts w:ascii="Times New Roman" w:hAnsi="Times New Roman"/>
          <w:b/>
          <w:sz w:val="20"/>
          <w:szCs w:val="20"/>
        </w:rPr>
      </w:pPr>
      <w:r w:rsidRPr="00A37D55">
        <w:rPr>
          <w:rFonts w:ascii="Times New Roman" w:hAnsi="Times New Roman"/>
          <w:b/>
          <w:sz w:val="20"/>
          <w:szCs w:val="20"/>
        </w:rPr>
        <w:t xml:space="preserve">Whether paging is supported in both </w:t>
      </w:r>
      <w:r>
        <w:rPr>
          <w:rFonts w:ascii="Times New Roman" w:hAnsi="Times New Roman"/>
          <w:b/>
          <w:sz w:val="20"/>
          <w:szCs w:val="20"/>
        </w:rPr>
        <w:t xml:space="preserve">anchor cell and </w:t>
      </w:r>
      <w:r w:rsidRPr="00A37D55">
        <w:rPr>
          <w:rFonts w:ascii="Times New Roman" w:hAnsi="Times New Roman"/>
          <w:b/>
          <w:sz w:val="20"/>
          <w:szCs w:val="20"/>
        </w:rPr>
        <w:t>non-anchor cell?</w:t>
      </w:r>
    </w:p>
    <w:p w14:paraId="2AA1F6C2" w14:textId="54FD5FF3" w:rsidR="006D6D7F" w:rsidRDefault="006D6D7F" w:rsidP="006D6D7F">
      <w:pPr>
        <w:pStyle w:val="aa"/>
        <w:numPr>
          <w:ilvl w:val="0"/>
          <w:numId w:val="26"/>
        </w:numPr>
        <w:ind w:left="1701" w:firstLineChars="0" w:hanging="1701"/>
        <w:rPr>
          <w:rFonts w:ascii="Times New Roman" w:hAnsi="Times New Roman"/>
          <w:b/>
          <w:sz w:val="20"/>
          <w:szCs w:val="20"/>
        </w:rPr>
      </w:pPr>
      <w:r w:rsidRPr="00AC4713">
        <w:rPr>
          <w:rFonts w:ascii="Times New Roman" w:hAnsi="Times New Roman"/>
          <w:b/>
          <w:sz w:val="20"/>
          <w:szCs w:val="20"/>
        </w:rPr>
        <w:t>If SSB of a NES non-anchor cell cannot be offloaded to an inter-band anchor cell, UL WUS can be a potential solution to trigger for on-demand SSB on this non-anchor cell.</w:t>
      </w:r>
    </w:p>
    <w:p w14:paraId="2110DCD6" w14:textId="313C465C" w:rsidR="000415CE" w:rsidRPr="0062294A" w:rsidRDefault="00E51745" w:rsidP="00E51745">
      <w:pPr>
        <w:pStyle w:val="aa"/>
        <w:numPr>
          <w:ilvl w:val="0"/>
          <w:numId w:val="26"/>
        </w:numPr>
        <w:spacing w:after="120"/>
        <w:ind w:left="1701" w:firstLineChars="0" w:hanging="1701"/>
        <w:rPr>
          <w:rFonts w:ascii="Times New Roman" w:hAnsi="Times New Roman"/>
          <w:b/>
          <w:sz w:val="20"/>
          <w:szCs w:val="20"/>
        </w:rPr>
      </w:pPr>
      <w:r>
        <w:rPr>
          <w:rFonts w:ascii="Times New Roman" w:hAnsi="Times New Roman"/>
          <w:b/>
          <w:sz w:val="20"/>
          <w:szCs w:val="20"/>
        </w:rPr>
        <w:t xml:space="preserve">RAN2 </w:t>
      </w:r>
      <w:r>
        <w:rPr>
          <w:rFonts w:ascii="Times New Roman" w:hAnsi="Times New Roman" w:hint="eastAsia"/>
          <w:b/>
          <w:sz w:val="20"/>
          <w:szCs w:val="20"/>
        </w:rPr>
        <w:t>to</w:t>
      </w:r>
      <w:r>
        <w:rPr>
          <w:rFonts w:ascii="Times New Roman" w:hAnsi="Times New Roman"/>
          <w:b/>
          <w:sz w:val="20"/>
          <w:szCs w:val="20"/>
        </w:rPr>
        <w:t xml:space="preserve"> </w:t>
      </w:r>
      <w:r w:rsidR="000415CE" w:rsidRPr="00E81C80">
        <w:rPr>
          <w:rFonts w:ascii="Times New Roman" w:hAnsi="Times New Roman"/>
          <w:b/>
          <w:sz w:val="20"/>
          <w:szCs w:val="20"/>
        </w:rPr>
        <w:t>further study</w:t>
      </w:r>
      <w:r w:rsidR="000415CE" w:rsidRPr="0062294A">
        <w:rPr>
          <w:rFonts w:ascii="Times New Roman" w:hAnsi="Times New Roman"/>
          <w:b/>
          <w:sz w:val="20"/>
          <w:szCs w:val="20"/>
        </w:rPr>
        <w:t xml:space="preserve"> </w:t>
      </w:r>
      <w:r w:rsidR="000415CE" w:rsidRPr="0062294A">
        <w:rPr>
          <w:rFonts w:ascii="Times New Roman" w:hAnsi="Times New Roman" w:hint="eastAsia"/>
          <w:b/>
          <w:sz w:val="20"/>
          <w:szCs w:val="20"/>
        </w:rPr>
        <w:t>group</w:t>
      </w:r>
      <w:r w:rsidR="000415CE" w:rsidRPr="0062294A">
        <w:rPr>
          <w:rFonts w:ascii="Times New Roman" w:hAnsi="Times New Roman"/>
          <w:b/>
          <w:sz w:val="20"/>
          <w:szCs w:val="20"/>
        </w:rPr>
        <w:t xml:space="preserve"> </w:t>
      </w:r>
      <w:r w:rsidR="000415CE" w:rsidRPr="0062294A">
        <w:rPr>
          <w:rFonts w:ascii="Times New Roman" w:hAnsi="Times New Roman" w:hint="eastAsia"/>
          <w:b/>
          <w:sz w:val="20"/>
          <w:szCs w:val="20"/>
        </w:rPr>
        <w:t>common</w:t>
      </w:r>
      <w:r w:rsidR="000415CE" w:rsidRPr="0062294A">
        <w:rPr>
          <w:rFonts w:ascii="Times New Roman" w:hAnsi="Times New Roman"/>
          <w:b/>
          <w:sz w:val="20"/>
          <w:szCs w:val="20"/>
        </w:rPr>
        <w:t xml:space="preserve"> BWP s</w:t>
      </w:r>
      <w:r w:rsidR="000415CE" w:rsidRPr="0062294A">
        <w:rPr>
          <w:rFonts w:ascii="Times New Roman" w:hAnsi="Times New Roman" w:hint="eastAsia"/>
          <w:b/>
          <w:sz w:val="20"/>
          <w:szCs w:val="20"/>
        </w:rPr>
        <w:t>witching</w:t>
      </w:r>
      <w:r w:rsidR="000415CE" w:rsidRPr="0062294A">
        <w:rPr>
          <w:rFonts w:ascii="Times New Roman" w:hAnsi="Times New Roman"/>
          <w:b/>
          <w:sz w:val="20"/>
          <w:szCs w:val="20"/>
        </w:rPr>
        <w:t xml:space="preserve"> for dynamic network energy saving scenario</w:t>
      </w:r>
      <w:r w:rsidR="000415CE" w:rsidRPr="0062294A">
        <w:rPr>
          <w:rFonts w:ascii="Times New Roman" w:hAnsi="Times New Roman" w:hint="eastAsia"/>
          <w:b/>
          <w:sz w:val="20"/>
          <w:szCs w:val="20"/>
        </w:rPr>
        <w:t>.</w:t>
      </w:r>
      <w:r w:rsidR="000415CE" w:rsidRPr="0062294A">
        <w:rPr>
          <w:rFonts w:ascii="Times New Roman" w:hAnsi="Times New Roman"/>
          <w:b/>
          <w:sz w:val="20"/>
          <w:szCs w:val="20"/>
        </w:rPr>
        <w:t xml:space="preserve"> </w:t>
      </w:r>
    </w:p>
    <w:p w14:paraId="1EF4B890" w14:textId="4A9DC183" w:rsidR="000415CE" w:rsidRPr="0062294A" w:rsidRDefault="00E51745" w:rsidP="00E51745">
      <w:pPr>
        <w:pStyle w:val="aa"/>
        <w:numPr>
          <w:ilvl w:val="0"/>
          <w:numId w:val="26"/>
        </w:numPr>
        <w:spacing w:after="120"/>
        <w:ind w:left="1701" w:firstLineChars="0" w:hanging="1701"/>
        <w:rPr>
          <w:rFonts w:ascii="Times New Roman" w:hAnsi="Times New Roman"/>
          <w:b/>
          <w:sz w:val="20"/>
          <w:szCs w:val="20"/>
        </w:rPr>
      </w:pPr>
      <w:r>
        <w:rPr>
          <w:rFonts w:ascii="Times New Roman" w:hAnsi="Times New Roman"/>
          <w:b/>
          <w:sz w:val="20"/>
          <w:szCs w:val="20"/>
        </w:rPr>
        <w:t xml:space="preserve">RAN2 </w:t>
      </w:r>
      <w:r>
        <w:rPr>
          <w:rFonts w:ascii="Times New Roman" w:hAnsi="Times New Roman" w:hint="eastAsia"/>
          <w:b/>
          <w:sz w:val="20"/>
          <w:szCs w:val="20"/>
        </w:rPr>
        <w:t>to</w:t>
      </w:r>
      <w:r>
        <w:rPr>
          <w:rFonts w:ascii="Times New Roman" w:hAnsi="Times New Roman"/>
          <w:b/>
          <w:sz w:val="20"/>
          <w:szCs w:val="20"/>
        </w:rPr>
        <w:t xml:space="preserve"> </w:t>
      </w:r>
      <w:r w:rsidR="000415CE" w:rsidRPr="00E81C80">
        <w:rPr>
          <w:rFonts w:ascii="Times New Roman" w:hAnsi="Times New Roman"/>
          <w:b/>
          <w:sz w:val="20"/>
          <w:szCs w:val="20"/>
        </w:rPr>
        <w:t>further study</w:t>
      </w:r>
      <w:r w:rsidR="000415CE">
        <w:rPr>
          <w:rFonts w:ascii="Times New Roman" w:hAnsi="Times New Roman"/>
          <w:b/>
          <w:sz w:val="20"/>
          <w:szCs w:val="20"/>
        </w:rPr>
        <w:t xml:space="preserve"> </w:t>
      </w:r>
      <w:r w:rsidR="000415CE" w:rsidRPr="0062294A">
        <w:rPr>
          <w:rFonts w:ascii="Times New Roman" w:hAnsi="Times New Roman"/>
          <w:b/>
          <w:sz w:val="20"/>
          <w:szCs w:val="20"/>
        </w:rPr>
        <w:t>NES BWP for dynamic network energy saving scenario</w:t>
      </w:r>
      <w:r w:rsidR="000415CE" w:rsidRPr="0062294A">
        <w:rPr>
          <w:rFonts w:ascii="Times New Roman" w:hAnsi="Times New Roman" w:hint="eastAsia"/>
          <w:b/>
          <w:sz w:val="20"/>
          <w:szCs w:val="20"/>
        </w:rPr>
        <w:t>.</w:t>
      </w:r>
      <w:r w:rsidR="000415CE" w:rsidRPr="0062294A">
        <w:rPr>
          <w:rFonts w:ascii="Times New Roman" w:hAnsi="Times New Roman"/>
          <w:b/>
          <w:sz w:val="20"/>
          <w:szCs w:val="20"/>
        </w:rPr>
        <w:t xml:space="preserve"> </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34323547" w14:textId="78ABB672" w:rsidR="00A2414B" w:rsidRPr="006D6D7F" w:rsidRDefault="006D6D7F" w:rsidP="00A2414B">
      <w:pPr>
        <w:pStyle w:val="aa"/>
        <w:widowControl/>
        <w:numPr>
          <w:ilvl w:val="0"/>
          <w:numId w:val="13"/>
        </w:numPr>
        <w:ind w:firstLineChars="0"/>
        <w:jc w:val="left"/>
        <w:rPr>
          <w:rFonts w:ascii="Times New Roman" w:hAnsi="Times New Roman"/>
          <w:sz w:val="20"/>
          <w:szCs w:val="20"/>
        </w:rPr>
      </w:pPr>
      <w:r w:rsidRPr="006D6D7F">
        <w:rPr>
          <w:rFonts w:ascii="Times New Roman" w:hAnsi="Times New Roman"/>
          <w:sz w:val="20"/>
          <w:szCs w:val="20"/>
        </w:rPr>
        <w:t>R2-2210417 Report of [POST119-e][313][NES] Details of solutions (Huawei)</w:t>
      </w:r>
    </w:p>
    <w:sectPr w:rsidR="00A2414B" w:rsidRPr="006D6D7F"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281A6" w14:textId="77777777" w:rsidR="00852DE0" w:rsidRDefault="00852DE0" w:rsidP="003E7FE5">
      <w:r>
        <w:separator/>
      </w:r>
    </w:p>
  </w:endnote>
  <w:endnote w:type="continuationSeparator" w:id="0">
    <w:p w14:paraId="72C0EB70" w14:textId="77777777" w:rsidR="00852DE0" w:rsidRDefault="00852DE0"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7DDF7" w14:textId="77777777" w:rsidR="00852DE0" w:rsidRDefault="00852DE0" w:rsidP="003E7FE5">
      <w:r>
        <w:separator/>
      </w:r>
    </w:p>
  </w:footnote>
  <w:footnote w:type="continuationSeparator" w:id="0">
    <w:p w14:paraId="26EE0770" w14:textId="77777777" w:rsidR="00852DE0" w:rsidRDefault="00852DE0"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BA0594"/>
    <w:multiLevelType w:val="hybridMultilevel"/>
    <w:tmpl w:val="623866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077CB"/>
    <w:multiLevelType w:val="hybridMultilevel"/>
    <w:tmpl w:val="D268602C"/>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9026D5"/>
    <w:multiLevelType w:val="hybridMultilevel"/>
    <w:tmpl w:val="C6E86FD4"/>
    <w:lvl w:ilvl="0" w:tplc="041D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AE56949"/>
    <w:multiLevelType w:val="hybridMultilevel"/>
    <w:tmpl w:val="9C2A84FC"/>
    <w:lvl w:ilvl="0" w:tplc="71CACB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736798"/>
    <w:multiLevelType w:val="hybridMultilevel"/>
    <w:tmpl w:val="F87E8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87607E"/>
    <w:multiLevelType w:val="hybridMultilevel"/>
    <w:tmpl w:val="15BC1E98"/>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6B2600"/>
    <w:multiLevelType w:val="hybridMultilevel"/>
    <w:tmpl w:val="10B68970"/>
    <w:lvl w:ilvl="0" w:tplc="80EAF7AA">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5B290B"/>
    <w:multiLevelType w:val="hybridMultilevel"/>
    <w:tmpl w:val="76A62C4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75622D2"/>
    <w:multiLevelType w:val="hybridMultilevel"/>
    <w:tmpl w:val="399699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C8058E"/>
    <w:multiLevelType w:val="hybridMultilevel"/>
    <w:tmpl w:val="80E44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C3AF7"/>
    <w:multiLevelType w:val="hybridMultilevel"/>
    <w:tmpl w:val="945E3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5648DE"/>
    <w:multiLevelType w:val="hybridMultilevel"/>
    <w:tmpl w:val="4B4AA842"/>
    <w:lvl w:ilvl="0" w:tplc="F4D4061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10473A"/>
    <w:multiLevelType w:val="hybridMultilevel"/>
    <w:tmpl w:val="39DC2A4E"/>
    <w:lvl w:ilvl="0" w:tplc="F4D4061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7"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31" w15:restartNumberingAfterBreak="0">
    <w:nsid w:val="75063E3E"/>
    <w:multiLevelType w:val="hybridMultilevel"/>
    <w:tmpl w:val="23C22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5"/>
  </w:num>
  <w:num w:numId="2">
    <w:abstractNumId w:val="28"/>
  </w:num>
  <w:num w:numId="3">
    <w:abstractNumId w:val="21"/>
  </w:num>
  <w:num w:numId="4">
    <w:abstractNumId w:val="5"/>
  </w:num>
  <w:num w:numId="5">
    <w:abstractNumId w:val="30"/>
  </w:num>
  <w:num w:numId="6">
    <w:abstractNumId w:val="29"/>
  </w:num>
  <w:num w:numId="7">
    <w:abstractNumId w:val="20"/>
  </w:num>
  <w:num w:numId="8">
    <w:abstractNumId w:val="7"/>
  </w:num>
  <w:num w:numId="9">
    <w:abstractNumId w:val="32"/>
  </w:num>
  <w:num w:numId="10">
    <w:abstractNumId w:val="16"/>
  </w:num>
  <w:num w:numId="11">
    <w:abstractNumId w:val="26"/>
  </w:num>
  <w:num w:numId="12">
    <w:abstractNumId w:val="9"/>
  </w:num>
  <w:num w:numId="13">
    <w:abstractNumId w:val="33"/>
  </w:num>
  <w:num w:numId="14">
    <w:abstractNumId w:val="6"/>
  </w:num>
  <w:num w:numId="15">
    <w:abstractNumId w:val="22"/>
  </w:num>
  <w:num w:numId="16">
    <w:abstractNumId w:val="1"/>
  </w:num>
  <w:num w:numId="17">
    <w:abstractNumId w:val="0"/>
  </w:num>
  <w:num w:numId="18">
    <w:abstractNumId w:val="2"/>
  </w:num>
  <w:num w:numId="19">
    <w:abstractNumId w:val="27"/>
  </w:num>
  <w:num w:numId="20">
    <w:abstractNumId w:val="13"/>
  </w:num>
  <w:num w:numId="21">
    <w:abstractNumId w:val="4"/>
  </w:num>
  <w:num w:numId="22">
    <w:abstractNumId w:val="11"/>
  </w:num>
  <w:num w:numId="23">
    <w:abstractNumId w:val="19"/>
  </w:num>
  <w:num w:numId="24">
    <w:abstractNumId w:val="18"/>
  </w:num>
  <w:num w:numId="25">
    <w:abstractNumId w:val="31"/>
  </w:num>
  <w:num w:numId="26">
    <w:abstractNumId w:val="24"/>
  </w:num>
  <w:num w:numId="27">
    <w:abstractNumId w:val="14"/>
  </w:num>
  <w:num w:numId="28">
    <w:abstractNumId w:val="17"/>
  </w:num>
  <w:num w:numId="29">
    <w:abstractNumId w:val="23"/>
  </w:num>
  <w:num w:numId="30">
    <w:abstractNumId w:val="3"/>
  </w:num>
  <w:num w:numId="31">
    <w:abstractNumId w:val="15"/>
  </w:num>
  <w:num w:numId="32">
    <w:abstractNumId w:val="8"/>
  </w:num>
  <w:num w:numId="33">
    <w:abstractNumId w:val="25"/>
  </w:num>
  <w:num w:numId="34">
    <w:abstractNumId w:val="12"/>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1960"/>
    <w:rsid w:val="000062DB"/>
    <w:rsid w:val="000113B8"/>
    <w:rsid w:val="00013CA5"/>
    <w:rsid w:val="00024732"/>
    <w:rsid w:val="00024FF0"/>
    <w:rsid w:val="00034AE9"/>
    <w:rsid w:val="0004041C"/>
    <w:rsid w:val="000415CE"/>
    <w:rsid w:val="000444C5"/>
    <w:rsid w:val="00045CE2"/>
    <w:rsid w:val="00046E1D"/>
    <w:rsid w:val="00050EF2"/>
    <w:rsid w:val="0006132B"/>
    <w:rsid w:val="00077CB0"/>
    <w:rsid w:val="00092BE6"/>
    <w:rsid w:val="000A358A"/>
    <w:rsid w:val="000A3A3B"/>
    <w:rsid w:val="000A65BF"/>
    <w:rsid w:val="000A6F29"/>
    <w:rsid w:val="000C3F52"/>
    <w:rsid w:val="000D1932"/>
    <w:rsid w:val="000E1786"/>
    <w:rsid w:val="000E383D"/>
    <w:rsid w:val="000E758D"/>
    <w:rsid w:val="000F0640"/>
    <w:rsid w:val="000F1C8E"/>
    <w:rsid w:val="000F2723"/>
    <w:rsid w:val="000F4ACE"/>
    <w:rsid w:val="000F72C8"/>
    <w:rsid w:val="00101540"/>
    <w:rsid w:val="0010634B"/>
    <w:rsid w:val="0010767F"/>
    <w:rsid w:val="001121CD"/>
    <w:rsid w:val="001129D4"/>
    <w:rsid w:val="00117886"/>
    <w:rsid w:val="001208E2"/>
    <w:rsid w:val="00133A20"/>
    <w:rsid w:val="00137736"/>
    <w:rsid w:val="001410D9"/>
    <w:rsid w:val="001445BF"/>
    <w:rsid w:val="001445FB"/>
    <w:rsid w:val="001448D5"/>
    <w:rsid w:val="00151674"/>
    <w:rsid w:val="00160A9B"/>
    <w:rsid w:val="0016785A"/>
    <w:rsid w:val="0017273B"/>
    <w:rsid w:val="00172F0A"/>
    <w:rsid w:val="001747E9"/>
    <w:rsid w:val="0017511E"/>
    <w:rsid w:val="00175DE9"/>
    <w:rsid w:val="001903A2"/>
    <w:rsid w:val="001908E6"/>
    <w:rsid w:val="00194C84"/>
    <w:rsid w:val="001A25FC"/>
    <w:rsid w:val="001A2E65"/>
    <w:rsid w:val="001A54DC"/>
    <w:rsid w:val="001A5E91"/>
    <w:rsid w:val="001A6507"/>
    <w:rsid w:val="001A66FD"/>
    <w:rsid w:val="001B30CB"/>
    <w:rsid w:val="001B3136"/>
    <w:rsid w:val="001C0083"/>
    <w:rsid w:val="001D4C46"/>
    <w:rsid w:val="001E62DD"/>
    <w:rsid w:val="001E6D4E"/>
    <w:rsid w:val="001F1864"/>
    <w:rsid w:val="001F26A6"/>
    <w:rsid w:val="001F2A35"/>
    <w:rsid w:val="001F5D17"/>
    <w:rsid w:val="00211D99"/>
    <w:rsid w:val="00213EA1"/>
    <w:rsid w:val="00214A6C"/>
    <w:rsid w:val="002225CB"/>
    <w:rsid w:val="00224A2A"/>
    <w:rsid w:val="00232840"/>
    <w:rsid w:val="00234E4F"/>
    <w:rsid w:val="002364BE"/>
    <w:rsid w:val="00242A77"/>
    <w:rsid w:val="00242E1C"/>
    <w:rsid w:val="00244848"/>
    <w:rsid w:val="00251174"/>
    <w:rsid w:val="002541C7"/>
    <w:rsid w:val="00261D01"/>
    <w:rsid w:val="0026661A"/>
    <w:rsid w:val="00271AEB"/>
    <w:rsid w:val="00281942"/>
    <w:rsid w:val="00284C62"/>
    <w:rsid w:val="002855E3"/>
    <w:rsid w:val="00285FF5"/>
    <w:rsid w:val="00292F23"/>
    <w:rsid w:val="002A2363"/>
    <w:rsid w:val="002A5FBD"/>
    <w:rsid w:val="002B11DC"/>
    <w:rsid w:val="002B1637"/>
    <w:rsid w:val="002B351A"/>
    <w:rsid w:val="002B42DE"/>
    <w:rsid w:val="002C273C"/>
    <w:rsid w:val="002C4919"/>
    <w:rsid w:val="002C62DC"/>
    <w:rsid w:val="002C7108"/>
    <w:rsid w:val="002D167B"/>
    <w:rsid w:val="002E51B6"/>
    <w:rsid w:val="002E7299"/>
    <w:rsid w:val="002F1881"/>
    <w:rsid w:val="002F1D02"/>
    <w:rsid w:val="003045B6"/>
    <w:rsid w:val="00312FA2"/>
    <w:rsid w:val="003144E6"/>
    <w:rsid w:val="003153AB"/>
    <w:rsid w:val="00315677"/>
    <w:rsid w:val="00316519"/>
    <w:rsid w:val="00317456"/>
    <w:rsid w:val="00320620"/>
    <w:rsid w:val="00326B41"/>
    <w:rsid w:val="00335599"/>
    <w:rsid w:val="0033593E"/>
    <w:rsid w:val="00342A01"/>
    <w:rsid w:val="00343E37"/>
    <w:rsid w:val="0034427D"/>
    <w:rsid w:val="003456F1"/>
    <w:rsid w:val="00346054"/>
    <w:rsid w:val="00347826"/>
    <w:rsid w:val="00350762"/>
    <w:rsid w:val="00351BFA"/>
    <w:rsid w:val="00352964"/>
    <w:rsid w:val="00364E75"/>
    <w:rsid w:val="003764A7"/>
    <w:rsid w:val="00377031"/>
    <w:rsid w:val="0038200A"/>
    <w:rsid w:val="00382E61"/>
    <w:rsid w:val="00385BCD"/>
    <w:rsid w:val="00386243"/>
    <w:rsid w:val="00392CF2"/>
    <w:rsid w:val="00394D3B"/>
    <w:rsid w:val="003A2AEA"/>
    <w:rsid w:val="003B2685"/>
    <w:rsid w:val="003B44E4"/>
    <w:rsid w:val="003B4E47"/>
    <w:rsid w:val="003C632C"/>
    <w:rsid w:val="003C701F"/>
    <w:rsid w:val="003D08D7"/>
    <w:rsid w:val="003D121D"/>
    <w:rsid w:val="003D46E9"/>
    <w:rsid w:val="003D5732"/>
    <w:rsid w:val="003D7FBE"/>
    <w:rsid w:val="003E0757"/>
    <w:rsid w:val="003E1ADD"/>
    <w:rsid w:val="003E5647"/>
    <w:rsid w:val="003E73FA"/>
    <w:rsid w:val="003E7FE5"/>
    <w:rsid w:val="003F5429"/>
    <w:rsid w:val="00400AA6"/>
    <w:rsid w:val="00407067"/>
    <w:rsid w:val="00413C64"/>
    <w:rsid w:val="00417390"/>
    <w:rsid w:val="00421B63"/>
    <w:rsid w:val="004229EB"/>
    <w:rsid w:val="00427623"/>
    <w:rsid w:val="00427B03"/>
    <w:rsid w:val="00432C41"/>
    <w:rsid w:val="00444F01"/>
    <w:rsid w:val="00446DB0"/>
    <w:rsid w:val="004526A5"/>
    <w:rsid w:val="00470BD9"/>
    <w:rsid w:val="004758DE"/>
    <w:rsid w:val="00484CEE"/>
    <w:rsid w:val="00491129"/>
    <w:rsid w:val="004933A8"/>
    <w:rsid w:val="004A21A1"/>
    <w:rsid w:val="004A4152"/>
    <w:rsid w:val="004B0DBD"/>
    <w:rsid w:val="004C3E9B"/>
    <w:rsid w:val="004D0653"/>
    <w:rsid w:val="004D3C5A"/>
    <w:rsid w:val="004D6095"/>
    <w:rsid w:val="004E29CA"/>
    <w:rsid w:val="004E3113"/>
    <w:rsid w:val="004E7593"/>
    <w:rsid w:val="004F599D"/>
    <w:rsid w:val="004F604C"/>
    <w:rsid w:val="004F773B"/>
    <w:rsid w:val="00500EFE"/>
    <w:rsid w:val="00501071"/>
    <w:rsid w:val="005017F6"/>
    <w:rsid w:val="00502F10"/>
    <w:rsid w:val="0050662E"/>
    <w:rsid w:val="0051065E"/>
    <w:rsid w:val="0052517C"/>
    <w:rsid w:val="00533C30"/>
    <w:rsid w:val="00536C5B"/>
    <w:rsid w:val="00537683"/>
    <w:rsid w:val="005412CD"/>
    <w:rsid w:val="00541641"/>
    <w:rsid w:val="005434A7"/>
    <w:rsid w:val="00545549"/>
    <w:rsid w:val="0055188C"/>
    <w:rsid w:val="00554432"/>
    <w:rsid w:val="0055473F"/>
    <w:rsid w:val="00554D89"/>
    <w:rsid w:val="0056025D"/>
    <w:rsid w:val="00565861"/>
    <w:rsid w:val="00567486"/>
    <w:rsid w:val="00567802"/>
    <w:rsid w:val="005707A6"/>
    <w:rsid w:val="00572C05"/>
    <w:rsid w:val="005738C7"/>
    <w:rsid w:val="00576E05"/>
    <w:rsid w:val="005817F6"/>
    <w:rsid w:val="0058682E"/>
    <w:rsid w:val="005935C8"/>
    <w:rsid w:val="005954FF"/>
    <w:rsid w:val="005A352B"/>
    <w:rsid w:val="005A53A6"/>
    <w:rsid w:val="005A7C5A"/>
    <w:rsid w:val="005B126C"/>
    <w:rsid w:val="005B724A"/>
    <w:rsid w:val="005C100D"/>
    <w:rsid w:val="005C4CB4"/>
    <w:rsid w:val="005D6C86"/>
    <w:rsid w:val="005F102C"/>
    <w:rsid w:val="005F6089"/>
    <w:rsid w:val="00600071"/>
    <w:rsid w:val="006011D9"/>
    <w:rsid w:val="006102BD"/>
    <w:rsid w:val="00617037"/>
    <w:rsid w:val="00624E50"/>
    <w:rsid w:val="0063760F"/>
    <w:rsid w:val="006414C4"/>
    <w:rsid w:val="006419F8"/>
    <w:rsid w:val="006556F8"/>
    <w:rsid w:val="00656556"/>
    <w:rsid w:val="00656660"/>
    <w:rsid w:val="0065726C"/>
    <w:rsid w:val="00664978"/>
    <w:rsid w:val="00666D22"/>
    <w:rsid w:val="00670BA2"/>
    <w:rsid w:val="00673B6E"/>
    <w:rsid w:val="00675CA4"/>
    <w:rsid w:val="00690A1F"/>
    <w:rsid w:val="00694BF8"/>
    <w:rsid w:val="006A6F2C"/>
    <w:rsid w:val="006B0026"/>
    <w:rsid w:val="006B6E57"/>
    <w:rsid w:val="006B7AE6"/>
    <w:rsid w:val="006D6D7F"/>
    <w:rsid w:val="006D7D45"/>
    <w:rsid w:val="006E33FC"/>
    <w:rsid w:val="006E40FD"/>
    <w:rsid w:val="006E4196"/>
    <w:rsid w:val="006E6BC6"/>
    <w:rsid w:val="006F1D8D"/>
    <w:rsid w:val="00707B58"/>
    <w:rsid w:val="007147BF"/>
    <w:rsid w:val="007160DB"/>
    <w:rsid w:val="0073196B"/>
    <w:rsid w:val="007347E0"/>
    <w:rsid w:val="00743F8C"/>
    <w:rsid w:val="00745FA9"/>
    <w:rsid w:val="00752298"/>
    <w:rsid w:val="00752A9A"/>
    <w:rsid w:val="00752D24"/>
    <w:rsid w:val="0075329E"/>
    <w:rsid w:val="00756311"/>
    <w:rsid w:val="00762D81"/>
    <w:rsid w:val="00766FA1"/>
    <w:rsid w:val="007756EA"/>
    <w:rsid w:val="00775F8A"/>
    <w:rsid w:val="00776300"/>
    <w:rsid w:val="007801CA"/>
    <w:rsid w:val="00781E81"/>
    <w:rsid w:val="0079022C"/>
    <w:rsid w:val="007933C2"/>
    <w:rsid w:val="007A4BCC"/>
    <w:rsid w:val="007A70E3"/>
    <w:rsid w:val="007B25E6"/>
    <w:rsid w:val="007B68E3"/>
    <w:rsid w:val="007B6FE7"/>
    <w:rsid w:val="007C1459"/>
    <w:rsid w:val="007C3A15"/>
    <w:rsid w:val="007C49B3"/>
    <w:rsid w:val="007C761D"/>
    <w:rsid w:val="007D3BF3"/>
    <w:rsid w:val="007D5310"/>
    <w:rsid w:val="007E197F"/>
    <w:rsid w:val="007E306B"/>
    <w:rsid w:val="007E499D"/>
    <w:rsid w:val="007E6641"/>
    <w:rsid w:val="00804755"/>
    <w:rsid w:val="008158E4"/>
    <w:rsid w:val="008236D3"/>
    <w:rsid w:val="00827B6C"/>
    <w:rsid w:val="00831490"/>
    <w:rsid w:val="008419DD"/>
    <w:rsid w:val="00841BF9"/>
    <w:rsid w:val="00847978"/>
    <w:rsid w:val="00852DE0"/>
    <w:rsid w:val="00882AE7"/>
    <w:rsid w:val="008964AB"/>
    <w:rsid w:val="008A0860"/>
    <w:rsid w:val="008A1C79"/>
    <w:rsid w:val="008A48F8"/>
    <w:rsid w:val="008A52CB"/>
    <w:rsid w:val="008A6196"/>
    <w:rsid w:val="008B01A3"/>
    <w:rsid w:val="008B1119"/>
    <w:rsid w:val="008C2047"/>
    <w:rsid w:val="008C5005"/>
    <w:rsid w:val="008D48E8"/>
    <w:rsid w:val="008D6FFA"/>
    <w:rsid w:val="008D7126"/>
    <w:rsid w:val="008D72DC"/>
    <w:rsid w:val="008D73E2"/>
    <w:rsid w:val="008E0056"/>
    <w:rsid w:val="008E08F7"/>
    <w:rsid w:val="008E3EBE"/>
    <w:rsid w:val="008F708F"/>
    <w:rsid w:val="008F7581"/>
    <w:rsid w:val="00907CFB"/>
    <w:rsid w:val="0091483E"/>
    <w:rsid w:val="009202B7"/>
    <w:rsid w:val="009254B8"/>
    <w:rsid w:val="009267B4"/>
    <w:rsid w:val="009320AD"/>
    <w:rsid w:val="009371CE"/>
    <w:rsid w:val="00946395"/>
    <w:rsid w:val="00954CE2"/>
    <w:rsid w:val="009564AE"/>
    <w:rsid w:val="00956ABE"/>
    <w:rsid w:val="00970C8D"/>
    <w:rsid w:val="00972334"/>
    <w:rsid w:val="0097336A"/>
    <w:rsid w:val="00977917"/>
    <w:rsid w:val="009A4A8D"/>
    <w:rsid w:val="009A760A"/>
    <w:rsid w:val="009B1ADE"/>
    <w:rsid w:val="009B3072"/>
    <w:rsid w:val="009B4524"/>
    <w:rsid w:val="009B5F30"/>
    <w:rsid w:val="009B79D0"/>
    <w:rsid w:val="009B7AAC"/>
    <w:rsid w:val="009C2B9D"/>
    <w:rsid w:val="009D10DD"/>
    <w:rsid w:val="009D20AB"/>
    <w:rsid w:val="009E4ED2"/>
    <w:rsid w:val="009E772B"/>
    <w:rsid w:val="009F0A2A"/>
    <w:rsid w:val="009F68DF"/>
    <w:rsid w:val="009F6FBD"/>
    <w:rsid w:val="00A03F0A"/>
    <w:rsid w:val="00A04DED"/>
    <w:rsid w:val="00A05584"/>
    <w:rsid w:val="00A10D5C"/>
    <w:rsid w:val="00A15AF9"/>
    <w:rsid w:val="00A239CF"/>
    <w:rsid w:val="00A2414B"/>
    <w:rsid w:val="00A24B35"/>
    <w:rsid w:val="00A327F7"/>
    <w:rsid w:val="00A36B0F"/>
    <w:rsid w:val="00A37D55"/>
    <w:rsid w:val="00A44398"/>
    <w:rsid w:val="00A46679"/>
    <w:rsid w:val="00A568EB"/>
    <w:rsid w:val="00A61DE5"/>
    <w:rsid w:val="00A659A7"/>
    <w:rsid w:val="00A737C6"/>
    <w:rsid w:val="00A77F00"/>
    <w:rsid w:val="00A8408F"/>
    <w:rsid w:val="00A8545A"/>
    <w:rsid w:val="00A86844"/>
    <w:rsid w:val="00A8777B"/>
    <w:rsid w:val="00A911D4"/>
    <w:rsid w:val="00A93A63"/>
    <w:rsid w:val="00A95FAE"/>
    <w:rsid w:val="00A9772D"/>
    <w:rsid w:val="00AB5D10"/>
    <w:rsid w:val="00AB70C7"/>
    <w:rsid w:val="00AB775B"/>
    <w:rsid w:val="00AC0A52"/>
    <w:rsid w:val="00AC1487"/>
    <w:rsid w:val="00AC4713"/>
    <w:rsid w:val="00AC7DFF"/>
    <w:rsid w:val="00AD031B"/>
    <w:rsid w:val="00AE34F1"/>
    <w:rsid w:val="00AF3F2A"/>
    <w:rsid w:val="00AF48F0"/>
    <w:rsid w:val="00AF4CE4"/>
    <w:rsid w:val="00AF642D"/>
    <w:rsid w:val="00AF749B"/>
    <w:rsid w:val="00AF7B90"/>
    <w:rsid w:val="00B02970"/>
    <w:rsid w:val="00B04D67"/>
    <w:rsid w:val="00B06E56"/>
    <w:rsid w:val="00B1416A"/>
    <w:rsid w:val="00B1430E"/>
    <w:rsid w:val="00B22C9F"/>
    <w:rsid w:val="00B247DC"/>
    <w:rsid w:val="00B27014"/>
    <w:rsid w:val="00B27503"/>
    <w:rsid w:val="00B3167C"/>
    <w:rsid w:val="00B42F26"/>
    <w:rsid w:val="00B4348E"/>
    <w:rsid w:val="00B446DC"/>
    <w:rsid w:val="00B446F1"/>
    <w:rsid w:val="00B57089"/>
    <w:rsid w:val="00B72120"/>
    <w:rsid w:val="00B7342E"/>
    <w:rsid w:val="00B74C93"/>
    <w:rsid w:val="00B76EFB"/>
    <w:rsid w:val="00B80BCD"/>
    <w:rsid w:val="00B841D9"/>
    <w:rsid w:val="00B868C1"/>
    <w:rsid w:val="00B86CDC"/>
    <w:rsid w:val="00B95B37"/>
    <w:rsid w:val="00BA10D2"/>
    <w:rsid w:val="00BA57C4"/>
    <w:rsid w:val="00BA70E1"/>
    <w:rsid w:val="00BB12BD"/>
    <w:rsid w:val="00BB3B50"/>
    <w:rsid w:val="00BB7850"/>
    <w:rsid w:val="00BC2637"/>
    <w:rsid w:val="00BC479D"/>
    <w:rsid w:val="00BC56E2"/>
    <w:rsid w:val="00BD586A"/>
    <w:rsid w:val="00BE2590"/>
    <w:rsid w:val="00BE7C47"/>
    <w:rsid w:val="00BF43BA"/>
    <w:rsid w:val="00C0032F"/>
    <w:rsid w:val="00C052EE"/>
    <w:rsid w:val="00C06DD9"/>
    <w:rsid w:val="00C107AC"/>
    <w:rsid w:val="00C129C5"/>
    <w:rsid w:val="00C21F9B"/>
    <w:rsid w:val="00C225CF"/>
    <w:rsid w:val="00C241DA"/>
    <w:rsid w:val="00C2661E"/>
    <w:rsid w:val="00C3134B"/>
    <w:rsid w:val="00C41C2B"/>
    <w:rsid w:val="00C42CBE"/>
    <w:rsid w:val="00C42E27"/>
    <w:rsid w:val="00C45690"/>
    <w:rsid w:val="00C45880"/>
    <w:rsid w:val="00C47748"/>
    <w:rsid w:val="00C47BAD"/>
    <w:rsid w:val="00C508A6"/>
    <w:rsid w:val="00C5171A"/>
    <w:rsid w:val="00C5244F"/>
    <w:rsid w:val="00C5574E"/>
    <w:rsid w:val="00C5722E"/>
    <w:rsid w:val="00C57EB4"/>
    <w:rsid w:val="00C644FD"/>
    <w:rsid w:val="00C648EB"/>
    <w:rsid w:val="00C667DD"/>
    <w:rsid w:val="00C67833"/>
    <w:rsid w:val="00C7419D"/>
    <w:rsid w:val="00C801FE"/>
    <w:rsid w:val="00C850EF"/>
    <w:rsid w:val="00C97255"/>
    <w:rsid w:val="00CB7A7D"/>
    <w:rsid w:val="00CC2137"/>
    <w:rsid w:val="00CC6217"/>
    <w:rsid w:val="00CC634D"/>
    <w:rsid w:val="00CD02FB"/>
    <w:rsid w:val="00CE67F3"/>
    <w:rsid w:val="00CF32C6"/>
    <w:rsid w:val="00CF52FB"/>
    <w:rsid w:val="00D006CC"/>
    <w:rsid w:val="00D047B9"/>
    <w:rsid w:val="00D0686A"/>
    <w:rsid w:val="00D06EC1"/>
    <w:rsid w:val="00D114AE"/>
    <w:rsid w:val="00D1190C"/>
    <w:rsid w:val="00D141C5"/>
    <w:rsid w:val="00D167D4"/>
    <w:rsid w:val="00D205E3"/>
    <w:rsid w:val="00D25D2F"/>
    <w:rsid w:val="00D26F4A"/>
    <w:rsid w:val="00D3141F"/>
    <w:rsid w:val="00D43730"/>
    <w:rsid w:val="00D4565C"/>
    <w:rsid w:val="00D47706"/>
    <w:rsid w:val="00D47C03"/>
    <w:rsid w:val="00D5539C"/>
    <w:rsid w:val="00D56446"/>
    <w:rsid w:val="00D5691E"/>
    <w:rsid w:val="00D60FA7"/>
    <w:rsid w:val="00D62CF7"/>
    <w:rsid w:val="00D66976"/>
    <w:rsid w:val="00D76B40"/>
    <w:rsid w:val="00D801CB"/>
    <w:rsid w:val="00D8388D"/>
    <w:rsid w:val="00D90FE6"/>
    <w:rsid w:val="00D93A95"/>
    <w:rsid w:val="00D97559"/>
    <w:rsid w:val="00D97617"/>
    <w:rsid w:val="00DA4F6D"/>
    <w:rsid w:val="00DA5F38"/>
    <w:rsid w:val="00DA6D01"/>
    <w:rsid w:val="00DA7E81"/>
    <w:rsid w:val="00DB11C3"/>
    <w:rsid w:val="00DC0E12"/>
    <w:rsid w:val="00DC5C40"/>
    <w:rsid w:val="00DC616C"/>
    <w:rsid w:val="00DC71A7"/>
    <w:rsid w:val="00DD5CA6"/>
    <w:rsid w:val="00DD696A"/>
    <w:rsid w:val="00DD702D"/>
    <w:rsid w:val="00DD74B0"/>
    <w:rsid w:val="00DE6980"/>
    <w:rsid w:val="00DE6AAA"/>
    <w:rsid w:val="00DE742A"/>
    <w:rsid w:val="00DE7AAC"/>
    <w:rsid w:val="00DE7EAB"/>
    <w:rsid w:val="00DF7126"/>
    <w:rsid w:val="00E0225B"/>
    <w:rsid w:val="00E02B0E"/>
    <w:rsid w:val="00E02DC5"/>
    <w:rsid w:val="00E13C67"/>
    <w:rsid w:val="00E14384"/>
    <w:rsid w:val="00E165F2"/>
    <w:rsid w:val="00E16EEA"/>
    <w:rsid w:val="00E321FA"/>
    <w:rsid w:val="00E33B57"/>
    <w:rsid w:val="00E3582D"/>
    <w:rsid w:val="00E443C4"/>
    <w:rsid w:val="00E5164D"/>
    <w:rsid w:val="00E51745"/>
    <w:rsid w:val="00E71693"/>
    <w:rsid w:val="00E74E6A"/>
    <w:rsid w:val="00E756C0"/>
    <w:rsid w:val="00E81C80"/>
    <w:rsid w:val="00E864BB"/>
    <w:rsid w:val="00E871C0"/>
    <w:rsid w:val="00E87241"/>
    <w:rsid w:val="00E876D4"/>
    <w:rsid w:val="00E911B5"/>
    <w:rsid w:val="00E93EDF"/>
    <w:rsid w:val="00E95E8A"/>
    <w:rsid w:val="00EA0CCB"/>
    <w:rsid w:val="00EA3009"/>
    <w:rsid w:val="00EB2590"/>
    <w:rsid w:val="00EB25EC"/>
    <w:rsid w:val="00ED0C80"/>
    <w:rsid w:val="00ED6184"/>
    <w:rsid w:val="00EE08CF"/>
    <w:rsid w:val="00EE7FEA"/>
    <w:rsid w:val="00EF37B8"/>
    <w:rsid w:val="00F002CA"/>
    <w:rsid w:val="00F02535"/>
    <w:rsid w:val="00F06747"/>
    <w:rsid w:val="00F0767B"/>
    <w:rsid w:val="00F14E2C"/>
    <w:rsid w:val="00F208AA"/>
    <w:rsid w:val="00F20B0A"/>
    <w:rsid w:val="00F22264"/>
    <w:rsid w:val="00F23FE4"/>
    <w:rsid w:val="00F252DF"/>
    <w:rsid w:val="00F31A98"/>
    <w:rsid w:val="00F46F52"/>
    <w:rsid w:val="00F47B44"/>
    <w:rsid w:val="00F56965"/>
    <w:rsid w:val="00F66CFB"/>
    <w:rsid w:val="00F70A08"/>
    <w:rsid w:val="00F70B21"/>
    <w:rsid w:val="00F8561D"/>
    <w:rsid w:val="00F85627"/>
    <w:rsid w:val="00F944F9"/>
    <w:rsid w:val="00F9511B"/>
    <w:rsid w:val="00FA2A01"/>
    <w:rsid w:val="00FA59B6"/>
    <w:rsid w:val="00FC2011"/>
    <w:rsid w:val="00FC39AB"/>
    <w:rsid w:val="00FD3A89"/>
    <w:rsid w:val="00FE18DF"/>
    <w:rsid w:val="00FE2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1,목록 단락 字符1,Lista1 字符1,?? ?? 字符1,????? 字符1,???? 字符1,列出段落1 字符,中等深浅网格 1 - 着色 21 字符,¥¡¡¡¡ì¬º¥¹¥È¶ÎÂä 字符,ÁÐ³ö¶ÎÂä 字符,列表段落1 字符,—ño’i—Ž 字符,¥ê¥¹¥È¶ÎÂä 字符,リスト段落 字符,1st level - Bullet List Paragraph 字符,Lettre d'introduction 字符,Bullet list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3"/>
    <w:rsid w:val="000062DB"/>
    <w:rPr>
      <w:rFonts w:eastAsia="Times New Roman" w:cs="Times New Roman"/>
      <w:kern w:val="0"/>
      <w:szCs w:val="20"/>
      <w:lang w:val="en-GB" w:eastAsia="en-US"/>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uiPriority w:val="34"/>
    <w:qFormat/>
    <w:locked/>
    <w:rsid w:val="00312FA2"/>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1239</Words>
  <Characters>7068</Characters>
  <Application>Microsoft Office Word</Application>
  <DocSecurity>0</DocSecurity>
  <Lines>58</Lines>
  <Paragraphs>16</Paragraphs>
  <ScaleCrop>false</ScaleCrop>
  <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13</cp:revision>
  <dcterms:created xsi:type="dcterms:W3CDTF">2022-09-30T08:57:00Z</dcterms:created>
  <dcterms:modified xsi:type="dcterms:W3CDTF">2022-09-30T09:11:00Z</dcterms:modified>
</cp:coreProperties>
</file>